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81F4" w14:textId="6D60B250" w:rsidR="002D49C2" w:rsidRPr="005B38E1" w:rsidRDefault="002D49C2" w:rsidP="1812BDC7">
      <w:pPr>
        <w:ind w:left="720" w:hanging="360"/>
        <w:jc w:val="both"/>
        <w:rPr>
          <w:rFonts w:ascii="Georgia" w:hAnsi="Georgia"/>
          <w:b/>
          <w:bCs/>
          <w:sz w:val="24"/>
          <w:szCs w:val="24"/>
          <w:u w:val="single"/>
        </w:rPr>
      </w:pPr>
      <w:r w:rsidRPr="005B38E1">
        <w:rPr>
          <w:rFonts w:ascii="Georgia" w:hAnsi="Georgia"/>
          <w:b/>
          <w:bCs/>
          <w:sz w:val="24"/>
          <w:szCs w:val="24"/>
          <w:u w:val="single"/>
        </w:rPr>
        <w:t>Role of the Money Laundering Reporting Officer (MLRO)</w:t>
      </w:r>
    </w:p>
    <w:p w14:paraId="3B22C5FC" w14:textId="38356AC8" w:rsidR="004740EC" w:rsidRPr="008A6A84" w:rsidRDefault="004740EC" w:rsidP="1812BDC7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"/>
        </w:rPr>
      </w:pPr>
      <w:r w:rsidRPr="1812BDC7">
        <w:rPr>
          <w:rFonts w:ascii="Georgia" w:hAnsi="Georgia" w:cs="Arial"/>
          <w:color w:val="333333"/>
          <w:lang w:val="en"/>
        </w:rPr>
        <w:t xml:space="preserve">The </w:t>
      </w:r>
      <w:r w:rsidR="00745C4F" w:rsidRPr="1812BDC7">
        <w:rPr>
          <w:rFonts w:ascii="Georgia" w:hAnsi="Georgia" w:cs="Arial"/>
          <w:color w:val="333333"/>
          <w:lang w:val="en"/>
        </w:rPr>
        <w:t xml:space="preserve">role </w:t>
      </w:r>
      <w:r w:rsidRPr="1812BDC7">
        <w:rPr>
          <w:rFonts w:ascii="Georgia" w:hAnsi="Georgia" w:cs="Arial"/>
          <w:color w:val="333333"/>
          <w:lang w:val="en"/>
        </w:rPr>
        <w:t>of th</w:t>
      </w:r>
      <w:r w:rsidR="002D49C2" w:rsidRPr="1812BDC7">
        <w:rPr>
          <w:rFonts w:ascii="Georgia" w:hAnsi="Georgia" w:cs="Arial"/>
          <w:color w:val="333333"/>
          <w:lang w:val="en"/>
        </w:rPr>
        <w:t xml:space="preserve">e MLRO </w:t>
      </w:r>
      <w:r w:rsidRPr="1812BDC7">
        <w:rPr>
          <w:rFonts w:ascii="Georgia" w:hAnsi="Georgia" w:cs="Arial"/>
          <w:color w:val="333333"/>
          <w:lang w:val="en"/>
        </w:rPr>
        <w:t>is to act as the focal point within the</w:t>
      </w:r>
      <w:r w:rsidR="002D49C2" w:rsidRPr="1812BDC7">
        <w:rPr>
          <w:rFonts w:ascii="Georgia" w:hAnsi="Georgia" w:cs="Arial"/>
          <w:color w:val="333333"/>
          <w:lang w:val="en"/>
        </w:rPr>
        <w:t xml:space="preserve"> FI</w:t>
      </w:r>
      <w:r w:rsidRPr="1812BDC7">
        <w:rPr>
          <w:rFonts w:ascii="Georgia" w:hAnsi="Georgia" w:cs="Arial"/>
          <w:color w:val="333333"/>
          <w:lang w:val="en"/>
        </w:rPr>
        <w:t xml:space="preserve"> for the oversight of all activity relating to anti</w:t>
      </w:r>
      <w:r w:rsidR="002D49C2" w:rsidRPr="1812BDC7">
        <w:rPr>
          <w:rFonts w:ascii="Georgia" w:hAnsi="Georgia" w:cs="Arial"/>
          <w:color w:val="333333"/>
          <w:lang w:val="en"/>
        </w:rPr>
        <w:t>-money laundering</w:t>
      </w:r>
      <w:r w:rsidR="009C4011" w:rsidRPr="1812BDC7">
        <w:rPr>
          <w:rFonts w:ascii="Georgia" w:hAnsi="Georgia" w:cs="Arial"/>
          <w:color w:val="333333"/>
          <w:lang w:val="en"/>
        </w:rPr>
        <w:t xml:space="preserve"> (AML)</w:t>
      </w:r>
      <w:r w:rsidR="264DA013" w:rsidRPr="1812BDC7">
        <w:rPr>
          <w:rFonts w:ascii="Georgia" w:hAnsi="Georgia" w:cs="Arial"/>
          <w:color w:val="333333"/>
          <w:lang w:val="en"/>
        </w:rPr>
        <w:t xml:space="preserve"> and Counter-Financing Terrorism (CFT)</w:t>
      </w:r>
      <w:r w:rsidR="002D49C2" w:rsidRPr="1812BDC7">
        <w:rPr>
          <w:rFonts w:ascii="Georgia" w:hAnsi="Georgia" w:cs="Arial"/>
          <w:color w:val="333333"/>
          <w:lang w:val="en"/>
        </w:rPr>
        <w:t>.</w:t>
      </w:r>
      <w:r w:rsidRPr="1812BDC7">
        <w:rPr>
          <w:rFonts w:ascii="Georgia" w:hAnsi="Georgia" w:cs="Arial"/>
          <w:color w:val="333333"/>
          <w:lang w:val="en"/>
        </w:rPr>
        <w:t xml:space="preserve"> </w:t>
      </w:r>
      <w:r w:rsidR="009C4011" w:rsidRPr="1812BDC7">
        <w:rPr>
          <w:rFonts w:ascii="Georgia" w:hAnsi="Georgia" w:cs="Arial"/>
          <w:color w:val="333333"/>
          <w:lang w:val="en"/>
        </w:rPr>
        <w:t>In most jurisdictions, there is a regulatory requirement to have a MLRO under local AML</w:t>
      </w:r>
      <w:r w:rsidR="00FE2CE7" w:rsidRPr="1812BDC7">
        <w:rPr>
          <w:rFonts w:ascii="Georgia" w:hAnsi="Georgia" w:cs="Arial"/>
          <w:color w:val="333333"/>
          <w:lang w:val="en"/>
        </w:rPr>
        <w:t xml:space="preserve"> regulations and MLROs</w:t>
      </w:r>
      <w:r w:rsidRPr="1812BDC7">
        <w:rPr>
          <w:rFonts w:ascii="Georgia" w:hAnsi="Georgia" w:cs="Arial"/>
          <w:color w:val="333333"/>
          <w:lang w:val="en"/>
        </w:rPr>
        <w:t xml:space="preserve"> are usually vetted by the relevant regulator. </w:t>
      </w:r>
      <w:r w:rsidR="7173BEA3" w:rsidRPr="1812BDC7">
        <w:rPr>
          <w:rFonts w:ascii="Georgia" w:hAnsi="Georgia" w:cs="Arial"/>
          <w:color w:val="333333"/>
          <w:lang w:val="en"/>
        </w:rPr>
        <w:t xml:space="preserve">The MLRO may also act as the lead compliance officer or head of financial crime, taking on wider responsibilities </w:t>
      </w:r>
      <w:r w:rsidR="7E40EB6B" w:rsidRPr="1812BDC7">
        <w:rPr>
          <w:rFonts w:ascii="Georgia" w:hAnsi="Georgia" w:cs="Arial"/>
          <w:color w:val="333333"/>
          <w:lang w:val="en"/>
        </w:rPr>
        <w:t>for</w:t>
      </w:r>
      <w:r w:rsidR="7173BEA3" w:rsidRPr="1812BDC7">
        <w:rPr>
          <w:rFonts w:ascii="Georgia" w:hAnsi="Georgia" w:cs="Arial"/>
          <w:color w:val="333333"/>
          <w:lang w:val="en"/>
        </w:rPr>
        <w:t xml:space="preserve"> sanctions, anti-bribery &amp; </w:t>
      </w:r>
      <w:proofErr w:type="gramStart"/>
      <w:r w:rsidR="7173BEA3" w:rsidRPr="1812BDC7">
        <w:rPr>
          <w:rFonts w:ascii="Georgia" w:hAnsi="Georgia" w:cs="Arial"/>
          <w:color w:val="333333"/>
          <w:lang w:val="en"/>
        </w:rPr>
        <w:t>cor</w:t>
      </w:r>
      <w:r w:rsidR="50C6313C" w:rsidRPr="1812BDC7">
        <w:rPr>
          <w:rFonts w:ascii="Georgia" w:hAnsi="Georgia" w:cs="Arial"/>
          <w:color w:val="333333"/>
          <w:lang w:val="en"/>
        </w:rPr>
        <w:t>ruption</w:t>
      </w:r>
      <w:proofErr w:type="gramEnd"/>
      <w:r w:rsidR="50C6313C" w:rsidRPr="1812BDC7">
        <w:rPr>
          <w:rFonts w:ascii="Georgia" w:hAnsi="Georgia" w:cs="Arial"/>
          <w:color w:val="333333"/>
          <w:lang w:val="en"/>
        </w:rPr>
        <w:t xml:space="preserve"> and fraud.</w:t>
      </w:r>
      <w:r w:rsidR="7173BEA3" w:rsidRPr="1812BDC7">
        <w:rPr>
          <w:rFonts w:ascii="Georgia" w:hAnsi="Georgia" w:cs="Arial"/>
          <w:color w:val="333333"/>
          <w:lang w:val="en"/>
        </w:rPr>
        <w:t xml:space="preserve">  </w:t>
      </w:r>
    </w:p>
    <w:p w14:paraId="30C3AE33" w14:textId="5A558DD0" w:rsidR="008A6A84" w:rsidRPr="002D49C2" w:rsidRDefault="008A6A84" w:rsidP="008A6A84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 xml:space="preserve">The FI must ensure the MLRO can carry out his function independently and effectively and ensure </w:t>
      </w:r>
      <w:r w:rsidR="002D4088" w:rsidRPr="1812BDC7">
        <w:rPr>
          <w:rFonts w:ascii="Georgia" w:hAnsi="Georgia" w:cs="Arial"/>
          <w:color w:val="333333"/>
          <w:lang w:val="en"/>
        </w:rPr>
        <w:t xml:space="preserve">the </w:t>
      </w:r>
      <w:r w:rsidRPr="1812BDC7">
        <w:rPr>
          <w:rFonts w:ascii="Georgia" w:hAnsi="Georgia" w:cs="Arial"/>
          <w:color w:val="333333"/>
          <w:lang w:val="en"/>
        </w:rPr>
        <w:t>MLRO has a sufficient level of seniority within the firm and has sufficient resources</w:t>
      </w:r>
      <w:r w:rsidR="007F7034" w:rsidRPr="1812BDC7">
        <w:rPr>
          <w:rFonts w:ascii="Georgia" w:hAnsi="Georgia" w:cs="Arial"/>
          <w:color w:val="333333"/>
          <w:lang w:val="en"/>
        </w:rPr>
        <w:t xml:space="preserve"> to conduct their role and responsibilities effectively.</w:t>
      </w:r>
    </w:p>
    <w:p w14:paraId="30D32F20" w14:textId="53544B66" w:rsidR="008A6A84" w:rsidRPr="002D49C2" w:rsidRDefault="00A1757F" w:rsidP="1812BDC7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/>
        </w:rPr>
        <w:t xml:space="preserve">The </w:t>
      </w:r>
      <w:r w:rsidR="009B3DA9" w:rsidRPr="1812BDC7">
        <w:rPr>
          <w:rFonts w:ascii="Georgia" w:hAnsi="Georgia"/>
        </w:rPr>
        <w:t xml:space="preserve">MLRO </w:t>
      </w:r>
      <w:r w:rsidRPr="1812BDC7">
        <w:rPr>
          <w:rFonts w:ascii="Georgia" w:hAnsi="Georgia"/>
        </w:rPr>
        <w:t>should</w:t>
      </w:r>
      <w:r w:rsidR="009B3DA9" w:rsidRPr="1812BDC7">
        <w:rPr>
          <w:rFonts w:ascii="Georgia" w:hAnsi="Georgia"/>
        </w:rPr>
        <w:t xml:space="preserve"> report to both the CEO</w:t>
      </w:r>
      <w:r w:rsidR="00CD0C3C" w:rsidRPr="1812BDC7">
        <w:rPr>
          <w:rFonts w:ascii="Georgia" w:hAnsi="Georgia"/>
        </w:rPr>
        <w:t xml:space="preserve"> or COO and the relevant board committee</w:t>
      </w:r>
      <w:r w:rsidR="00421EA7" w:rsidRPr="1812BDC7">
        <w:rPr>
          <w:rFonts w:ascii="Georgia" w:hAnsi="Georgia"/>
        </w:rPr>
        <w:t xml:space="preserve"> such as Risk &amp; Audit.</w:t>
      </w:r>
    </w:p>
    <w:p w14:paraId="74348FFE" w14:textId="27A7D997" w:rsidR="004740EC" w:rsidRPr="002D49C2" w:rsidRDefault="00ED5722" w:rsidP="1812BDC7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 xml:space="preserve">An </w:t>
      </w:r>
      <w:r w:rsidR="00FE2CE7" w:rsidRPr="1812BDC7">
        <w:rPr>
          <w:rFonts w:ascii="Georgia" w:hAnsi="Georgia" w:cs="Arial"/>
          <w:color w:val="333333"/>
          <w:lang w:val="en"/>
        </w:rPr>
        <w:t>MLRO should</w:t>
      </w:r>
      <w:r w:rsidR="004740EC" w:rsidRPr="1812BDC7">
        <w:rPr>
          <w:rFonts w:ascii="Georgia" w:hAnsi="Georgia" w:cs="Arial"/>
          <w:color w:val="333333"/>
          <w:lang w:val="en"/>
        </w:rPr>
        <w:t xml:space="preserve"> be senior</w:t>
      </w:r>
      <w:r w:rsidR="00FE2CE7" w:rsidRPr="1812BDC7">
        <w:rPr>
          <w:rFonts w:ascii="Georgia" w:hAnsi="Georgia" w:cs="Arial"/>
          <w:color w:val="333333"/>
          <w:lang w:val="en"/>
        </w:rPr>
        <w:t xml:space="preserve"> </w:t>
      </w:r>
      <w:r w:rsidR="00262EB4" w:rsidRPr="1812BDC7">
        <w:rPr>
          <w:rFonts w:ascii="Georgia" w:hAnsi="Georgia" w:cs="Arial"/>
          <w:color w:val="333333"/>
          <w:lang w:val="en"/>
        </w:rPr>
        <w:t xml:space="preserve">and experienced </w:t>
      </w:r>
      <w:r w:rsidR="00FE2CE7" w:rsidRPr="1812BDC7">
        <w:rPr>
          <w:rFonts w:ascii="Georgia" w:hAnsi="Georgia" w:cs="Arial"/>
          <w:color w:val="333333"/>
          <w:lang w:val="en"/>
        </w:rPr>
        <w:t>individuals</w:t>
      </w:r>
      <w:r w:rsidR="004740EC" w:rsidRPr="1812BDC7">
        <w:rPr>
          <w:rFonts w:ascii="Georgia" w:hAnsi="Georgia" w:cs="Arial"/>
          <w:color w:val="333333"/>
          <w:lang w:val="en"/>
        </w:rPr>
        <w:t>, to be free to act on their own authority and to be informed of any relevant knowledge or suspicion of money laundering in t</w:t>
      </w:r>
      <w:r w:rsidR="00043496" w:rsidRPr="1812BDC7">
        <w:rPr>
          <w:rFonts w:ascii="Georgia" w:hAnsi="Georgia" w:cs="Arial"/>
          <w:color w:val="333333"/>
          <w:lang w:val="en"/>
        </w:rPr>
        <w:t xml:space="preserve">he FI. </w:t>
      </w:r>
      <w:r w:rsidR="004740EC" w:rsidRPr="1812BDC7">
        <w:rPr>
          <w:rFonts w:ascii="Georgia" w:hAnsi="Georgia" w:cs="Arial"/>
          <w:color w:val="333333"/>
          <w:lang w:val="en"/>
        </w:rPr>
        <w:t xml:space="preserve">In turn they </w:t>
      </w:r>
      <w:r w:rsidR="00043496" w:rsidRPr="1812BDC7">
        <w:rPr>
          <w:rFonts w:ascii="Georgia" w:hAnsi="Georgia" w:cs="Arial"/>
          <w:color w:val="333333"/>
          <w:lang w:val="en"/>
        </w:rPr>
        <w:t xml:space="preserve">need </w:t>
      </w:r>
      <w:r w:rsidR="004740EC" w:rsidRPr="1812BDC7">
        <w:rPr>
          <w:rFonts w:ascii="Georgia" w:hAnsi="Georgia" w:cs="Arial"/>
          <w:color w:val="333333"/>
          <w:lang w:val="en"/>
        </w:rPr>
        <w:t xml:space="preserve">to pass on relevant suspicions to </w:t>
      </w:r>
      <w:r w:rsidR="00747DC7" w:rsidRPr="1812BDC7">
        <w:rPr>
          <w:rFonts w:ascii="Georgia" w:hAnsi="Georgia" w:cs="Arial"/>
          <w:color w:val="333333"/>
          <w:lang w:val="en"/>
        </w:rPr>
        <w:t>their local financial intelligence unit (FIU)</w:t>
      </w:r>
      <w:r w:rsidR="003F014E" w:rsidRPr="1812BDC7">
        <w:rPr>
          <w:rFonts w:ascii="Georgia" w:hAnsi="Georgia" w:cs="Arial"/>
          <w:color w:val="333333"/>
          <w:lang w:val="en"/>
        </w:rPr>
        <w:t xml:space="preserve"> </w:t>
      </w:r>
      <w:r w:rsidR="00125D43" w:rsidRPr="1812BDC7">
        <w:rPr>
          <w:rFonts w:ascii="Georgia" w:hAnsi="Georgia" w:cs="Arial"/>
          <w:color w:val="333333"/>
          <w:lang w:val="en"/>
        </w:rPr>
        <w:t>and where relevan</w:t>
      </w:r>
      <w:r w:rsidR="00461F28" w:rsidRPr="1812BDC7">
        <w:rPr>
          <w:rFonts w:ascii="Georgia" w:hAnsi="Georgia" w:cs="Arial"/>
          <w:color w:val="333333"/>
          <w:lang w:val="en"/>
        </w:rPr>
        <w:t>t</w:t>
      </w:r>
      <w:r w:rsidR="00125D43" w:rsidRPr="1812BDC7">
        <w:rPr>
          <w:rFonts w:ascii="Georgia" w:hAnsi="Georgia" w:cs="Arial"/>
          <w:color w:val="333333"/>
          <w:lang w:val="en"/>
        </w:rPr>
        <w:t>, liaise with the regulator or law enforcement on the issue</w:t>
      </w:r>
      <w:r w:rsidR="00461F28" w:rsidRPr="1812BDC7">
        <w:rPr>
          <w:rFonts w:ascii="Georgia" w:hAnsi="Georgia" w:cs="Arial"/>
          <w:color w:val="333333"/>
          <w:lang w:val="en"/>
        </w:rPr>
        <w:t xml:space="preserve"> of whether to proceed with a transaction of customer or on what information can be disclosed to a third party</w:t>
      </w:r>
      <w:r w:rsidR="004740EC" w:rsidRPr="1812BDC7">
        <w:rPr>
          <w:rFonts w:ascii="Georgia" w:hAnsi="Georgia" w:cs="Arial"/>
          <w:color w:val="333333"/>
          <w:lang w:val="en"/>
        </w:rPr>
        <w:t>.</w:t>
      </w:r>
    </w:p>
    <w:p w14:paraId="223A4E05" w14:textId="3684AFAA" w:rsidR="00F51722" w:rsidRDefault="00F51722" w:rsidP="00A25CDB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/>
        </w:rPr>
        <w:t xml:space="preserve">The MLRO role can be performed by the </w:t>
      </w:r>
      <w:r w:rsidR="00B21877" w:rsidRPr="1812BDC7">
        <w:rPr>
          <w:rFonts w:ascii="Georgia" w:hAnsi="Georgia"/>
        </w:rPr>
        <w:t>FI</w:t>
      </w:r>
      <w:r w:rsidR="006C5AA4" w:rsidRPr="1812BDC7">
        <w:rPr>
          <w:rFonts w:ascii="Georgia" w:hAnsi="Georgia"/>
        </w:rPr>
        <w:t>’</w:t>
      </w:r>
      <w:r w:rsidR="00B21877" w:rsidRPr="1812BDC7">
        <w:rPr>
          <w:rFonts w:ascii="Georgia" w:hAnsi="Georgia"/>
        </w:rPr>
        <w:t>s Chief or Deputy Compliance Officer but this should be stipulated</w:t>
      </w:r>
      <w:r w:rsidR="482D975D" w:rsidRPr="1812BDC7">
        <w:rPr>
          <w:rFonts w:ascii="Georgia" w:hAnsi="Georgia"/>
        </w:rPr>
        <w:t xml:space="preserve"> in the firm’s policies</w:t>
      </w:r>
      <w:r w:rsidR="00B21877" w:rsidRPr="1812BDC7">
        <w:rPr>
          <w:rFonts w:ascii="Georgia" w:hAnsi="Georgia"/>
        </w:rPr>
        <w:t xml:space="preserve">.  </w:t>
      </w:r>
    </w:p>
    <w:p w14:paraId="7864D369" w14:textId="77777777" w:rsidR="00FA4769" w:rsidRPr="002D49C2" w:rsidRDefault="00FA4769" w:rsidP="00FA47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>The FI must ensure the MLRO is able to monitor the day-to-day operation of its AML systems, processes/controls, and respond promptly to any reasonable request for information from the regulator.</w:t>
      </w:r>
    </w:p>
    <w:p w14:paraId="4F0F6E70" w14:textId="77777777" w:rsidR="00FA4769" w:rsidRPr="002D49C2" w:rsidRDefault="00FA4769" w:rsidP="00FA476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>Key responsibilities of an MLRO include:</w:t>
      </w:r>
    </w:p>
    <w:p w14:paraId="1E0C8BF1" w14:textId="77777777" w:rsidR="00FA4769" w:rsidRPr="002D49C2" w:rsidRDefault="00FA4769" w:rsidP="00FA4769">
      <w:pPr>
        <w:pStyle w:val="ListParagraph"/>
        <w:numPr>
          <w:ilvl w:val="1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 xml:space="preserve">receiving internal reports on compliance with the firm’s AML </w:t>
      </w:r>
      <w:proofErr w:type="gramStart"/>
      <w:r w:rsidRPr="1812BDC7">
        <w:rPr>
          <w:rFonts w:ascii="Georgia" w:hAnsi="Georgia" w:cs="Arial"/>
          <w:color w:val="333333"/>
          <w:lang w:val="en"/>
        </w:rPr>
        <w:t>regulations;</w:t>
      </w:r>
      <w:proofErr w:type="gramEnd"/>
    </w:p>
    <w:p w14:paraId="62615A71" w14:textId="77777777" w:rsidR="00FA4769" w:rsidRPr="002D49C2" w:rsidRDefault="00FA4769" w:rsidP="00FA4769">
      <w:pPr>
        <w:pStyle w:val="ListParagraph"/>
        <w:numPr>
          <w:ilvl w:val="1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 xml:space="preserve">taking reasonable steps to access any relevant business information e.g. client files to enable them to make informed </w:t>
      </w:r>
      <w:proofErr w:type="gramStart"/>
      <w:r w:rsidRPr="1812BDC7">
        <w:rPr>
          <w:rFonts w:ascii="Georgia" w:hAnsi="Georgia" w:cs="Arial"/>
          <w:color w:val="333333"/>
          <w:lang w:val="en"/>
        </w:rPr>
        <w:t>decisions;</w:t>
      </w:r>
      <w:proofErr w:type="gramEnd"/>
    </w:p>
    <w:p w14:paraId="4BD77C3D" w14:textId="77777777" w:rsidR="00FA4769" w:rsidRDefault="00FA4769" w:rsidP="00FA4769">
      <w:pPr>
        <w:pStyle w:val="ListParagraph"/>
        <w:numPr>
          <w:ilvl w:val="1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 xml:space="preserve">making external reports to the FIU and advising on how to proceed once an internal report and/or SAR has been </w:t>
      </w:r>
      <w:proofErr w:type="gramStart"/>
      <w:r w:rsidRPr="1812BDC7">
        <w:rPr>
          <w:rFonts w:ascii="Georgia" w:hAnsi="Georgia" w:cs="Arial"/>
          <w:color w:val="333333"/>
          <w:lang w:val="en"/>
        </w:rPr>
        <w:t>made;</w:t>
      </w:r>
      <w:proofErr w:type="gramEnd"/>
      <w:r w:rsidRPr="1812BDC7">
        <w:rPr>
          <w:rFonts w:ascii="Georgia" w:hAnsi="Georgia"/>
        </w:rPr>
        <w:t xml:space="preserve"> </w:t>
      </w:r>
    </w:p>
    <w:p w14:paraId="24C60C2D" w14:textId="77777777" w:rsidR="00FA4769" w:rsidRPr="00E05D42" w:rsidRDefault="00FA4769" w:rsidP="00FA4769">
      <w:pPr>
        <w:pStyle w:val="ListParagraph"/>
        <w:numPr>
          <w:ilvl w:val="1"/>
          <w:numId w:val="2"/>
        </w:numPr>
        <w:jc w:val="both"/>
        <w:rPr>
          <w:rFonts w:ascii="Georgia" w:hAnsi="Georgia"/>
        </w:rPr>
      </w:pPr>
      <w:r w:rsidRPr="1812BDC7">
        <w:rPr>
          <w:rFonts w:ascii="Georgia" w:eastAsia="Times New Roman" w:hAnsi="Georgia" w:cs="Segoe UI"/>
          <w:color w:val="212529"/>
          <w:lang w:val="en" w:eastAsia="en-GB"/>
        </w:rPr>
        <w:t>being involved in the design and implementation of internal AML/CFT systems, controls and the FI’s policies and procedures</w:t>
      </w:r>
    </w:p>
    <w:p w14:paraId="5CCDCFEC" w14:textId="77777777" w:rsidR="00FA4769" w:rsidRPr="002D49C2" w:rsidRDefault="00FA4769" w:rsidP="00FA4769">
      <w:pPr>
        <w:pStyle w:val="ListParagraph"/>
        <w:numPr>
          <w:ilvl w:val="1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 xml:space="preserve">taking reasonable steps to establish and maintain adequate arrangements for awareness and training (whether by themselves or someone else), and </w:t>
      </w:r>
    </w:p>
    <w:p w14:paraId="5EAE65B4" w14:textId="77777777" w:rsidR="00FA4769" w:rsidRPr="00461F28" w:rsidRDefault="00FA4769" w:rsidP="00FA4769">
      <w:pPr>
        <w:pStyle w:val="ListParagraph"/>
        <w:numPr>
          <w:ilvl w:val="1"/>
          <w:numId w:val="2"/>
        </w:numPr>
        <w:jc w:val="both"/>
        <w:rPr>
          <w:rFonts w:ascii="Georgia" w:hAnsi="Georgia"/>
        </w:rPr>
      </w:pPr>
      <w:r w:rsidRPr="1812BDC7">
        <w:rPr>
          <w:rFonts w:ascii="Georgia" w:hAnsi="Georgia" w:cs="Arial"/>
          <w:color w:val="333333"/>
          <w:lang w:val="en"/>
        </w:rPr>
        <w:t>where required, making annual (or equivalent) reports to the FIs senior management.</w:t>
      </w:r>
      <w:r w:rsidRPr="1812BDC7">
        <w:rPr>
          <w:rFonts w:ascii="Georgia" w:eastAsia="Times New Roman" w:hAnsi="Georgia" w:cs="Segoe UI"/>
          <w:color w:val="212529"/>
          <w:lang w:val="en" w:eastAsia="en-GB"/>
        </w:rPr>
        <w:t xml:space="preserve"> </w:t>
      </w:r>
    </w:p>
    <w:p w14:paraId="796998AC" w14:textId="3986C611" w:rsidR="008D0071" w:rsidRPr="008D0071" w:rsidRDefault="008D0071" w:rsidP="1812BDC7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eastAsiaTheme="minorEastAsia"/>
          <w:color w:val="212529"/>
          <w:lang w:val="en" w:eastAsia="en-GB"/>
        </w:rPr>
      </w:pPr>
      <w:r w:rsidRPr="1812BDC7">
        <w:rPr>
          <w:rFonts w:ascii="Georgia" w:eastAsia="Times New Roman" w:hAnsi="Georgia" w:cs="Segoe UI"/>
          <w:color w:val="212529"/>
          <w:lang w:val="en" w:eastAsia="en-GB"/>
        </w:rPr>
        <w:t>The size and nature of some FIs may lead to the MLRO delegating certain duties regarding the business's anti-money laundering/counter financing</w:t>
      </w:r>
      <w:r w:rsidR="00CC351D" w:rsidRPr="1812BDC7">
        <w:rPr>
          <w:rFonts w:ascii="Georgia" w:eastAsia="Times New Roman" w:hAnsi="Georgia" w:cs="Segoe UI"/>
          <w:color w:val="212529"/>
          <w:lang w:val="en" w:eastAsia="en-GB"/>
        </w:rPr>
        <w:t xml:space="preserve"> terrorism</w:t>
      </w:r>
      <w:r w:rsidRPr="1812BDC7">
        <w:rPr>
          <w:rFonts w:ascii="Georgia" w:eastAsia="Times New Roman" w:hAnsi="Georgia" w:cs="Segoe UI"/>
          <w:color w:val="212529"/>
          <w:lang w:val="en" w:eastAsia="en-GB"/>
        </w:rPr>
        <w:t xml:space="preserve"> obligations</w:t>
      </w:r>
      <w:r w:rsidR="006B00E9" w:rsidRPr="1812BDC7">
        <w:rPr>
          <w:rFonts w:ascii="Georgia" w:hAnsi="Georgia" w:cs="Arial"/>
          <w:color w:val="333333"/>
          <w:lang w:val="en"/>
        </w:rPr>
        <w:t>, for example for large banks operating in multiple jurisdictions with different businesses e.g. retail, corporate, private and investment banking.</w:t>
      </w:r>
      <w:r w:rsidR="16ED2017" w:rsidRPr="1812BDC7">
        <w:rPr>
          <w:rFonts w:ascii="Georgia" w:hAnsi="Georgia" w:cs="Arial"/>
          <w:color w:val="333333"/>
          <w:lang w:val="en"/>
        </w:rPr>
        <w:t xml:space="preserve"> Duties may also be split for reporting purposes and for general </w:t>
      </w:r>
      <w:r w:rsidR="48E5800E" w:rsidRPr="1812BDC7">
        <w:rPr>
          <w:rFonts w:ascii="Georgia" w:eastAsia="Times New Roman" w:hAnsi="Georgia" w:cs="Segoe UI"/>
          <w:color w:val="212529"/>
          <w:lang w:val="en" w:eastAsia="en-GB"/>
        </w:rPr>
        <w:t xml:space="preserve">oversight of AML/CFT activities. </w:t>
      </w:r>
    </w:p>
    <w:p w14:paraId="5CAAD516" w14:textId="2949797D" w:rsidR="008D0071" w:rsidRPr="008D0071" w:rsidRDefault="008D0071" w:rsidP="1812BDC7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color w:val="212529"/>
          <w:lang w:val="en" w:eastAsia="en-GB"/>
        </w:rPr>
      </w:pPr>
      <w:r w:rsidRPr="1812BDC7">
        <w:rPr>
          <w:rFonts w:ascii="Georgia" w:eastAsia="Times New Roman" w:hAnsi="Georgia" w:cs="Segoe UI"/>
          <w:color w:val="212529"/>
          <w:lang w:val="en" w:eastAsia="en-GB"/>
        </w:rPr>
        <w:t xml:space="preserve">Delegation does not relieve the MLRO </w:t>
      </w:r>
      <w:r w:rsidR="00E42F6C" w:rsidRPr="1812BDC7">
        <w:rPr>
          <w:rFonts w:ascii="Georgia" w:eastAsia="Times New Roman" w:hAnsi="Georgia" w:cs="Segoe UI"/>
          <w:color w:val="212529"/>
          <w:lang w:val="en" w:eastAsia="en-GB"/>
        </w:rPr>
        <w:t xml:space="preserve">and the FI </w:t>
      </w:r>
      <w:r w:rsidRPr="1812BDC7">
        <w:rPr>
          <w:rFonts w:ascii="Georgia" w:eastAsia="Times New Roman" w:hAnsi="Georgia" w:cs="Segoe UI"/>
          <w:color w:val="212529"/>
          <w:lang w:val="en" w:eastAsia="en-GB"/>
        </w:rPr>
        <w:t xml:space="preserve">of </w:t>
      </w:r>
      <w:r w:rsidR="00E42F6C" w:rsidRPr="1812BDC7">
        <w:rPr>
          <w:rFonts w:ascii="Georgia" w:eastAsia="Times New Roman" w:hAnsi="Georgia" w:cs="Segoe UI"/>
          <w:color w:val="212529"/>
          <w:lang w:val="en" w:eastAsia="en-GB"/>
        </w:rPr>
        <w:t xml:space="preserve">its </w:t>
      </w:r>
      <w:r w:rsidR="008636E2" w:rsidRPr="1812BDC7">
        <w:rPr>
          <w:rFonts w:ascii="Georgia" w:eastAsia="Times New Roman" w:hAnsi="Georgia" w:cs="Segoe UI"/>
          <w:color w:val="212529"/>
          <w:lang w:val="en" w:eastAsia="en-GB"/>
        </w:rPr>
        <w:t xml:space="preserve">regulatory </w:t>
      </w:r>
      <w:r w:rsidR="00E42F6C" w:rsidRPr="1812BDC7">
        <w:rPr>
          <w:rFonts w:ascii="Georgia" w:eastAsia="Times New Roman" w:hAnsi="Georgia" w:cs="Segoe UI"/>
          <w:color w:val="212529"/>
          <w:lang w:val="en" w:eastAsia="en-GB"/>
        </w:rPr>
        <w:t xml:space="preserve">obligations and </w:t>
      </w:r>
      <w:r w:rsidRPr="1812BDC7">
        <w:rPr>
          <w:rFonts w:ascii="Georgia" w:eastAsia="Times New Roman" w:hAnsi="Georgia" w:cs="Segoe UI"/>
          <w:color w:val="212529"/>
          <w:lang w:val="en" w:eastAsia="en-GB"/>
        </w:rPr>
        <w:t>responsibility</w:t>
      </w:r>
      <w:r w:rsidR="00E42F6C" w:rsidRPr="1812BDC7">
        <w:rPr>
          <w:rFonts w:ascii="Georgia" w:eastAsia="Times New Roman" w:hAnsi="Georgia" w:cs="Segoe UI"/>
          <w:color w:val="212529"/>
          <w:lang w:val="en" w:eastAsia="en-GB"/>
        </w:rPr>
        <w:t xml:space="preserve"> under the applicable regulation</w:t>
      </w:r>
      <w:r w:rsidRPr="1812BDC7">
        <w:rPr>
          <w:rFonts w:ascii="Georgia" w:eastAsia="Times New Roman" w:hAnsi="Georgia" w:cs="Segoe UI"/>
          <w:color w:val="212529"/>
          <w:lang w:val="en" w:eastAsia="en-GB"/>
        </w:rPr>
        <w:t xml:space="preserve">. In some large businesses, one or more permanent deputies of suitable seniority may be appointed. </w:t>
      </w:r>
      <w:r w:rsidR="36F53341" w:rsidRPr="1812BDC7">
        <w:rPr>
          <w:rFonts w:ascii="Georgia" w:eastAsia="Times New Roman" w:hAnsi="Georgia" w:cs="Segoe UI"/>
          <w:color w:val="212529"/>
          <w:lang w:val="en" w:eastAsia="en-GB"/>
        </w:rPr>
        <w:t>Internal</w:t>
      </w:r>
      <w:r w:rsidRPr="1812BDC7">
        <w:rPr>
          <w:rFonts w:ascii="Georgia" w:eastAsia="Times New Roman" w:hAnsi="Georgia" w:cs="Segoe UI"/>
          <w:color w:val="212529"/>
          <w:lang w:val="en" w:eastAsia="en-GB"/>
        </w:rPr>
        <w:t xml:space="preserve"> reporting channels should be well known to all relevant employees. All businesses will need to consider arrangements for temporary cover when the </w:t>
      </w:r>
      <w:r w:rsidR="10654198" w:rsidRPr="1812BDC7">
        <w:rPr>
          <w:rFonts w:ascii="Georgia" w:eastAsia="Times New Roman" w:hAnsi="Georgia" w:cs="Segoe UI"/>
          <w:color w:val="212529"/>
          <w:lang w:val="en" w:eastAsia="en-GB"/>
        </w:rPr>
        <w:t>MLRO/</w:t>
      </w:r>
      <w:r w:rsidRPr="1812BDC7">
        <w:rPr>
          <w:rFonts w:ascii="Georgia" w:eastAsia="Times New Roman" w:hAnsi="Georgia" w:cs="Segoe UI"/>
          <w:color w:val="212529"/>
          <w:lang w:val="en" w:eastAsia="en-GB"/>
        </w:rPr>
        <w:t>nominated officer is absent.</w:t>
      </w:r>
    </w:p>
    <w:p w14:paraId="44716146" w14:textId="55303921" w:rsidR="00623557" w:rsidRPr="00461F28" w:rsidRDefault="00623557" w:rsidP="1812BDC7">
      <w:pPr>
        <w:jc w:val="both"/>
        <w:rPr>
          <w:rFonts w:ascii="Georgia" w:hAnsi="Georgia"/>
        </w:rPr>
      </w:pPr>
      <w:bookmarkStart w:id="0" w:name="D20"/>
      <w:bookmarkEnd w:id="0"/>
      <w:r w:rsidRPr="1812BDC7">
        <w:rPr>
          <w:rFonts w:ascii="Georgia" w:eastAsia="Times New Roman" w:hAnsi="Georgia" w:cs="Segoe UI"/>
          <w:color w:val="212529"/>
          <w:lang w:val="en" w:eastAsia="en-GB"/>
        </w:rPr>
        <w:t xml:space="preserve"> </w:t>
      </w:r>
    </w:p>
    <w:sectPr w:rsidR="00623557" w:rsidRPr="00461F2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E0C9" w14:textId="77777777" w:rsidR="005B38E1" w:rsidRDefault="005B38E1" w:rsidP="005B38E1">
      <w:pPr>
        <w:spacing w:after="0" w:line="240" w:lineRule="auto"/>
      </w:pPr>
      <w:r>
        <w:separator/>
      </w:r>
    </w:p>
  </w:endnote>
  <w:endnote w:type="continuationSeparator" w:id="0">
    <w:p w14:paraId="5BA02006" w14:textId="77777777" w:rsidR="005B38E1" w:rsidRDefault="005B38E1" w:rsidP="005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6C1D" w14:textId="77777777" w:rsidR="005B38E1" w:rsidRDefault="005B38E1" w:rsidP="005B38E1">
      <w:pPr>
        <w:spacing w:after="0" w:line="240" w:lineRule="auto"/>
      </w:pPr>
      <w:r>
        <w:separator/>
      </w:r>
    </w:p>
  </w:footnote>
  <w:footnote w:type="continuationSeparator" w:id="0">
    <w:p w14:paraId="2228E46B" w14:textId="77777777" w:rsidR="005B38E1" w:rsidRDefault="005B38E1" w:rsidP="005B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D4E" w14:textId="028D4421" w:rsidR="005B38E1" w:rsidRDefault="005B38E1">
    <w:pPr>
      <w:pStyle w:val="Header"/>
    </w:pPr>
    <w:r w:rsidRPr="00FB759E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07B5EDD" wp14:editId="581B0FEC">
          <wp:simplePos x="0" y="0"/>
          <wp:positionH relativeFrom="rightMargin">
            <wp:align>left</wp:align>
          </wp:positionH>
          <wp:positionV relativeFrom="margin">
            <wp:posOffset>-427355</wp:posOffset>
          </wp:positionV>
          <wp:extent cx="676275" cy="2679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black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C4E"/>
    <w:multiLevelType w:val="multilevel"/>
    <w:tmpl w:val="85F4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F6A0C"/>
    <w:multiLevelType w:val="hybridMultilevel"/>
    <w:tmpl w:val="26921754"/>
    <w:lvl w:ilvl="0" w:tplc="3FB67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0A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4A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C6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4E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42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A1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88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45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498"/>
    <w:multiLevelType w:val="hybridMultilevel"/>
    <w:tmpl w:val="E4F2BE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5811"/>
    <w:multiLevelType w:val="multilevel"/>
    <w:tmpl w:val="7CC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EC"/>
    <w:rsid w:val="00043496"/>
    <w:rsid w:val="0006198C"/>
    <w:rsid w:val="000C0C9B"/>
    <w:rsid w:val="000F5194"/>
    <w:rsid w:val="00113A79"/>
    <w:rsid w:val="0012538E"/>
    <w:rsid w:val="00125D43"/>
    <w:rsid w:val="00163BA7"/>
    <w:rsid w:val="00231DDE"/>
    <w:rsid w:val="00262EB4"/>
    <w:rsid w:val="0027196D"/>
    <w:rsid w:val="002C2824"/>
    <w:rsid w:val="002D4088"/>
    <w:rsid w:val="002D49C2"/>
    <w:rsid w:val="003F014E"/>
    <w:rsid w:val="00402666"/>
    <w:rsid w:val="00421EA7"/>
    <w:rsid w:val="00461F28"/>
    <w:rsid w:val="004740EC"/>
    <w:rsid w:val="004B3F71"/>
    <w:rsid w:val="0051550A"/>
    <w:rsid w:val="00551AF4"/>
    <w:rsid w:val="005B02FD"/>
    <w:rsid w:val="005B38E1"/>
    <w:rsid w:val="00604B9C"/>
    <w:rsid w:val="00621401"/>
    <w:rsid w:val="00623557"/>
    <w:rsid w:val="006B00E9"/>
    <w:rsid w:val="006C5AA4"/>
    <w:rsid w:val="00745C4F"/>
    <w:rsid w:val="00747DC7"/>
    <w:rsid w:val="007F7034"/>
    <w:rsid w:val="008636E2"/>
    <w:rsid w:val="00865D0E"/>
    <w:rsid w:val="008A3438"/>
    <w:rsid w:val="008A6A84"/>
    <w:rsid w:val="008D0071"/>
    <w:rsid w:val="008E1630"/>
    <w:rsid w:val="0092142A"/>
    <w:rsid w:val="009B3DA9"/>
    <w:rsid w:val="009C4011"/>
    <w:rsid w:val="009F1732"/>
    <w:rsid w:val="00A1757F"/>
    <w:rsid w:val="00A25CDB"/>
    <w:rsid w:val="00A37C0A"/>
    <w:rsid w:val="00A51875"/>
    <w:rsid w:val="00A675D5"/>
    <w:rsid w:val="00A81507"/>
    <w:rsid w:val="00AE2F37"/>
    <w:rsid w:val="00B21877"/>
    <w:rsid w:val="00BC720C"/>
    <w:rsid w:val="00C35FAC"/>
    <w:rsid w:val="00C40245"/>
    <w:rsid w:val="00CC351D"/>
    <w:rsid w:val="00CD0C3C"/>
    <w:rsid w:val="00D67AE2"/>
    <w:rsid w:val="00D80FC7"/>
    <w:rsid w:val="00DE68EF"/>
    <w:rsid w:val="00E05D42"/>
    <w:rsid w:val="00E35C55"/>
    <w:rsid w:val="00E42F6C"/>
    <w:rsid w:val="00ED5722"/>
    <w:rsid w:val="00F51722"/>
    <w:rsid w:val="00F55D0C"/>
    <w:rsid w:val="00FA4769"/>
    <w:rsid w:val="00FE177E"/>
    <w:rsid w:val="00FE2CE7"/>
    <w:rsid w:val="02EDEF76"/>
    <w:rsid w:val="095212A9"/>
    <w:rsid w:val="0C7BD198"/>
    <w:rsid w:val="0E2F03EE"/>
    <w:rsid w:val="0F0B64EC"/>
    <w:rsid w:val="10654198"/>
    <w:rsid w:val="16ED2017"/>
    <w:rsid w:val="16FD4E74"/>
    <w:rsid w:val="1812BDC7"/>
    <w:rsid w:val="1A3B4925"/>
    <w:rsid w:val="20A430BA"/>
    <w:rsid w:val="264DA013"/>
    <w:rsid w:val="271B5FC4"/>
    <w:rsid w:val="28B73025"/>
    <w:rsid w:val="2D3C8EDE"/>
    <w:rsid w:val="36F53341"/>
    <w:rsid w:val="47CB78B0"/>
    <w:rsid w:val="482D975D"/>
    <w:rsid w:val="48E5800E"/>
    <w:rsid w:val="4E785B15"/>
    <w:rsid w:val="502D53D3"/>
    <w:rsid w:val="50C6313C"/>
    <w:rsid w:val="51C92434"/>
    <w:rsid w:val="636196B0"/>
    <w:rsid w:val="69D91F0C"/>
    <w:rsid w:val="7173BEA3"/>
    <w:rsid w:val="76CF0409"/>
    <w:rsid w:val="79473568"/>
    <w:rsid w:val="7AE305C9"/>
    <w:rsid w:val="7E40EB6B"/>
    <w:rsid w:val="7F9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67DE"/>
  <w15:chartTrackingRefBased/>
  <w15:docId w15:val="{901C1E1E-C931-4FAD-9C9B-DFC5356C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3557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para1">
    <w:name w:val="subpara1"/>
    <w:basedOn w:val="Normal"/>
    <w:rsid w:val="0062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refout">
    <w:name w:val="xrefout"/>
    <w:basedOn w:val="DefaultParagraphFont"/>
    <w:rsid w:val="00623557"/>
  </w:style>
  <w:style w:type="character" w:customStyle="1" w:styleId="xrefin">
    <w:name w:val="xrefin"/>
    <w:basedOn w:val="DefaultParagraphFont"/>
    <w:rsid w:val="00623557"/>
  </w:style>
  <w:style w:type="character" w:customStyle="1" w:styleId="Heading2Char">
    <w:name w:val="Heading 2 Char"/>
    <w:basedOn w:val="DefaultParagraphFont"/>
    <w:link w:val="Heading2"/>
    <w:uiPriority w:val="9"/>
    <w:rsid w:val="006235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E1"/>
  </w:style>
  <w:style w:type="paragraph" w:styleId="Footer">
    <w:name w:val="footer"/>
    <w:basedOn w:val="Normal"/>
    <w:link w:val="FooterChar"/>
    <w:uiPriority w:val="99"/>
    <w:unhideWhenUsed/>
    <w:rsid w:val="005B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4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8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b497-4044-4cf2-90cc-f4ae0dbc3665"/>
    <e60208c032404629b4d3226b63133635 xmlns="870cb497-4044-4cf2-90cc-f4ae0dbc3665">
      <Terms xmlns="http://schemas.microsoft.com/office/infopath/2007/PartnerControls"/>
    </e60208c032404629b4d3226b63133635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5800705-6cab-460c-b450-fee685b6c533" ContentTypeId="0x0101001AE287E3BCC07049AAD0134B3AFED4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C Document" ma:contentTypeID="0x0101001AE287E3BCC07049AAD0134B3AFED40500A6D7E617D3945A4191A3E4AFFDF62314" ma:contentTypeVersion="0" ma:contentTypeDescription="" ma:contentTypeScope="" ma:versionID="69f2ae6a8b1a4e8419ea6538dabd795c">
  <xsd:schema xmlns:xsd="http://www.w3.org/2001/XMLSchema" xmlns:xs="http://www.w3.org/2001/XMLSchema" xmlns:p="http://schemas.microsoft.com/office/2006/metadata/properties" xmlns:ns2="870cb497-4044-4cf2-90cc-f4ae0dbc3665" targetNamespace="http://schemas.microsoft.com/office/2006/metadata/properties" ma:root="true" ma:fieldsID="4efe6189d0e5071f63545ca034c533ae" ns2:_="">
    <xsd:import namespace="870cb497-4044-4cf2-90cc-f4ae0dbc3665"/>
    <xsd:element name="properties">
      <xsd:complexType>
        <xsd:sequence>
          <xsd:element name="documentManagement">
            <xsd:complexType>
              <xsd:all>
                <xsd:element ref="ns2:e60208c032404629b4d3226b63133635" minOccurs="0"/>
                <xsd:element ref="ns2:TaxCatchAll" minOccurs="0"/>
                <xsd:element ref="ns2:TaxCatchAllLabel" minOccurs="0"/>
                <xsd:element ref="ns2:m84d7c7f63cb451b899bccc83df50b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e60208c032404629b4d3226b63133635" ma:index="8" nillable="true" ma:taxonomy="true" ma:internalName="e60208c032404629b4d3226b63133635" ma:taxonomyFieldName="CDCRelateTo" ma:displayName="Relates To" ma:default="30;#Compliance and Business Integrity|c63737ca-db2b-49a8-8d2e-a0451c568308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4d7c7f63cb451b899bccc83df50b61" ma:index="12" nillable="true" ma:taxonomy="true" ma:internalName="m84d7c7f63cb451b899bccc83df50b61" ma:taxonomyFieldName="CDCDocumentType" ma:displayName="Document Typ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2EA2E-99AA-43B0-81FC-53FDDBD7CDA4}">
  <ds:schemaRefs>
    <ds:schemaRef ds:uri="http://schemas.microsoft.com/office/2006/metadata/properties"/>
    <ds:schemaRef ds:uri="http://schemas.microsoft.com/office/infopath/2007/PartnerControls"/>
    <ds:schemaRef ds:uri="870cb497-4044-4cf2-90cc-f4ae0dbc3665"/>
  </ds:schemaRefs>
</ds:datastoreItem>
</file>

<file path=customXml/itemProps2.xml><?xml version="1.0" encoding="utf-8"?>
<ds:datastoreItem xmlns:ds="http://schemas.openxmlformats.org/officeDocument/2006/customXml" ds:itemID="{A35CD5CC-8F24-4BAC-856E-D46C14CB4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316D8-6364-4154-AA59-86E10BCAC7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89D8DF-05F7-4F0E-89FA-162FC7BD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4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Bescoby</dc:creator>
  <cp:keywords/>
  <dc:description/>
  <cp:lastModifiedBy>Banji Jackson-Oke</cp:lastModifiedBy>
  <cp:revision>2</cp:revision>
  <dcterms:created xsi:type="dcterms:W3CDTF">2021-06-10T20:46:00Z</dcterms:created>
  <dcterms:modified xsi:type="dcterms:W3CDTF">2021-06-10T20:46:00Z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0x0101001AE287E3BCC07049AAD0134B3AFED40500A6D7E617D3945A4191A3E4AFFDF62314</vt:lpwstr>
  </property>
  <property fmtid="{D5CDD505-2E9C-101B-9397-08002B2CF9AE}" pid="3" name="CDCRelateTo">
    <vt:lpwstr/>
  </property>
  <property fmtid="{D5CDD505-2E9C-101B-9397-08002B2CF9AE}" pid="4" name="CDCDocumentType">
    <vt:lpwstr/>
  </property>
  <property fmtid="{D5CDD505-2E9C-101B-9397-08002B2CF9AE}" pid="5" name="SharedWithUsers">
    <vt:lpwstr>553;#Gina Edmonds</vt:lpwstr>
  </property>
</Properties>
</file>