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0C71" w14:textId="77777777" w:rsidR="00D37CAD" w:rsidRDefault="00D37CAD" w:rsidP="006C2CD0">
      <w:pPr>
        <w:rPr>
          <w:sz w:val="48"/>
        </w:rPr>
      </w:pPr>
      <w:r w:rsidRPr="00D37CAD">
        <w:rPr>
          <w:noProof/>
          <w:sz w:val="44"/>
          <w:lang w:eastAsia="en-GB"/>
        </w:rPr>
        <w:drawing>
          <wp:anchor distT="0" distB="0" distL="114300" distR="114300" simplePos="0" relativeHeight="251662336" behindDoc="0" locked="0" layoutInCell="1" allowOverlap="1" wp14:anchorId="6278FEE8" wp14:editId="2C0DCA24">
            <wp:simplePos x="0" y="0"/>
            <wp:positionH relativeFrom="column">
              <wp:posOffset>5038725</wp:posOffset>
            </wp:positionH>
            <wp:positionV relativeFrom="paragraph">
              <wp:posOffset>-809625</wp:posOffset>
            </wp:positionV>
            <wp:extent cx="1180465" cy="1165225"/>
            <wp:effectExtent l="0" t="0" r="635" b="0"/>
            <wp:wrapNone/>
            <wp:docPr id="1" name="Picture 1" descr="C:\Users\lmartin\AppData\Local\Microsoft\Windows\INetCache\Content.Word\CDC_logo_Black2.png"/>
            <wp:cNvGraphicFramePr/>
            <a:graphic xmlns:a="http://schemas.openxmlformats.org/drawingml/2006/main">
              <a:graphicData uri="http://schemas.openxmlformats.org/drawingml/2006/picture">
                <pic:pic xmlns:pic="http://schemas.openxmlformats.org/drawingml/2006/picture">
                  <pic:nvPicPr>
                    <pic:cNvPr id="1" name="Picture 1" descr="C:\Users\lmartin\AppData\Local\Microsoft\Windows\INetCache\Content.Word\CDC_logo_Black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46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47A" w:rsidRPr="00D37CAD">
        <w:rPr>
          <w:sz w:val="48"/>
        </w:rPr>
        <w:t xml:space="preserve">External Stakeholder Engagement </w:t>
      </w:r>
    </w:p>
    <w:p w14:paraId="4FE816FF" w14:textId="227D1A5A" w:rsidR="006C2CD0" w:rsidRPr="00D37CAD" w:rsidRDefault="0080647A" w:rsidP="006C2CD0">
      <w:pPr>
        <w:rPr>
          <w:sz w:val="48"/>
        </w:rPr>
      </w:pPr>
      <w:r w:rsidRPr="00D37CAD">
        <w:rPr>
          <w:color w:val="808080" w:themeColor="background1" w:themeShade="80"/>
          <w:sz w:val="40"/>
        </w:rPr>
        <w:t xml:space="preserve">Tool 1: Key </w:t>
      </w:r>
      <w:r w:rsidR="006E0B8E">
        <w:rPr>
          <w:color w:val="808080" w:themeColor="background1" w:themeShade="80"/>
          <w:sz w:val="40"/>
        </w:rPr>
        <w:t>c</w:t>
      </w:r>
      <w:r w:rsidRPr="00D37CAD">
        <w:rPr>
          <w:color w:val="808080" w:themeColor="background1" w:themeShade="80"/>
          <w:sz w:val="40"/>
        </w:rPr>
        <w:t>omponents of an SEP</w:t>
      </w:r>
    </w:p>
    <w:p w14:paraId="4FE81700" w14:textId="60B09771" w:rsidR="006C2CD0" w:rsidRDefault="0080647A" w:rsidP="006C2CD0">
      <w:r>
        <w:t>A full SEP typically includes the following elements:</w:t>
      </w:r>
    </w:p>
    <w:p w14:paraId="4FE81701" w14:textId="77777777" w:rsidR="006C2CD0" w:rsidRDefault="0080647A" w:rsidP="006C2CD0">
      <w:pPr>
        <w:pStyle w:val="ListParagraph"/>
        <w:numPr>
          <w:ilvl w:val="0"/>
          <w:numId w:val="2"/>
        </w:numPr>
      </w:pPr>
      <w:r>
        <w:t xml:space="preserve">Purpose and objective of </w:t>
      </w:r>
      <w:proofErr w:type="gramStart"/>
      <w:r>
        <w:t>engagement;</w:t>
      </w:r>
      <w:proofErr w:type="gramEnd"/>
    </w:p>
    <w:p w14:paraId="4FE81702" w14:textId="2CA9FE85" w:rsidR="006C2CD0" w:rsidRDefault="0080647A" w:rsidP="006C2CD0">
      <w:pPr>
        <w:pStyle w:val="ListParagraph"/>
        <w:numPr>
          <w:ilvl w:val="0"/>
          <w:numId w:val="2"/>
        </w:numPr>
      </w:pPr>
      <w:r>
        <w:t xml:space="preserve">Legal </w:t>
      </w:r>
      <w:r w:rsidR="006E0B8E">
        <w:t>and</w:t>
      </w:r>
      <w:r>
        <w:t xml:space="preserve"> regulatory </w:t>
      </w:r>
      <w:proofErr w:type="gramStart"/>
      <w:r>
        <w:t>framework;</w:t>
      </w:r>
      <w:proofErr w:type="gramEnd"/>
    </w:p>
    <w:p w14:paraId="4FE81703" w14:textId="077F3037" w:rsidR="006C2CD0" w:rsidRDefault="0080647A" w:rsidP="006C2CD0">
      <w:pPr>
        <w:pStyle w:val="ListParagraph"/>
        <w:numPr>
          <w:ilvl w:val="0"/>
          <w:numId w:val="2"/>
        </w:numPr>
      </w:pPr>
      <w:r>
        <w:t xml:space="preserve">Company/project description and issue </w:t>
      </w:r>
      <w:proofErr w:type="gramStart"/>
      <w:r>
        <w:t>identification;</w:t>
      </w:r>
      <w:proofErr w:type="gramEnd"/>
    </w:p>
    <w:p w14:paraId="4FE81704" w14:textId="77777777" w:rsidR="006C2CD0" w:rsidRDefault="0080647A" w:rsidP="006C2CD0">
      <w:pPr>
        <w:pStyle w:val="ListParagraph"/>
        <w:numPr>
          <w:ilvl w:val="0"/>
          <w:numId w:val="2"/>
        </w:numPr>
      </w:pPr>
      <w:r>
        <w:t xml:space="preserve">Stakeholder identification and </w:t>
      </w:r>
      <w:proofErr w:type="gramStart"/>
      <w:r>
        <w:t>mapping;</w:t>
      </w:r>
      <w:proofErr w:type="gramEnd"/>
    </w:p>
    <w:p w14:paraId="4FE81705" w14:textId="35695FF5" w:rsidR="006C2CD0" w:rsidRDefault="0080647A" w:rsidP="006C2CD0">
      <w:pPr>
        <w:pStyle w:val="ListParagraph"/>
        <w:numPr>
          <w:ilvl w:val="0"/>
          <w:numId w:val="2"/>
        </w:numPr>
      </w:pPr>
      <w:r>
        <w:t xml:space="preserve">Engagement plan implementation (methods, objective, approach, tools </w:t>
      </w:r>
      <w:r w:rsidR="006E0B8E">
        <w:t>and</w:t>
      </w:r>
      <w:r>
        <w:t xml:space="preserve"> materials</w:t>
      </w:r>
      <w:proofErr w:type="gramStart"/>
      <w:r>
        <w:t>);</w:t>
      </w:r>
      <w:proofErr w:type="gramEnd"/>
    </w:p>
    <w:p w14:paraId="4FE81706" w14:textId="77777777" w:rsidR="006C2CD0" w:rsidRDefault="0080647A" w:rsidP="006C2CD0">
      <w:pPr>
        <w:pStyle w:val="ListParagraph"/>
        <w:numPr>
          <w:ilvl w:val="0"/>
          <w:numId w:val="2"/>
        </w:numPr>
      </w:pPr>
      <w:r>
        <w:t xml:space="preserve">Roles and </w:t>
      </w:r>
      <w:proofErr w:type="gramStart"/>
      <w:r>
        <w:t>responsibilities;</w:t>
      </w:r>
      <w:proofErr w:type="gramEnd"/>
    </w:p>
    <w:p w14:paraId="4FE81707" w14:textId="317EAC7F" w:rsidR="006C2CD0" w:rsidRDefault="0080647A" w:rsidP="006C2CD0">
      <w:pPr>
        <w:pStyle w:val="ListParagraph"/>
        <w:numPr>
          <w:ilvl w:val="0"/>
          <w:numId w:val="2"/>
        </w:numPr>
      </w:pPr>
      <w:r>
        <w:t xml:space="preserve">Summary of </w:t>
      </w:r>
      <w:r w:rsidR="006E0B8E">
        <w:t>e</w:t>
      </w:r>
      <w:r>
        <w:t xml:space="preserve">ngagement </w:t>
      </w:r>
      <w:r w:rsidR="006E0B8E">
        <w:t>a</w:t>
      </w:r>
      <w:r>
        <w:t>ctivities (</w:t>
      </w:r>
      <w:r w:rsidR="006E0B8E">
        <w:t>a</w:t>
      </w:r>
      <w:r>
        <w:t>ssociated stakeholder consultation database</w:t>
      </w:r>
      <w:proofErr w:type="gramStart"/>
      <w:r>
        <w:t>);</w:t>
      </w:r>
      <w:proofErr w:type="gramEnd"/>
    </w:p>
    <w:p w14:paraId="4FE81708" w14:textId="63AC5834" w:rsidR="006C2CD0" w:rsidRDefault="0080647A" w:rsidP="006C2CD0">
      <w:pPr>
        <w:pStyle w:val="ListParagraph"/>
        <w:numPr>
          <w:ilvl w:val="0"/>
          <w:numId w:val="2"/>
        </w:numPr>
      </w:pPr>
      <w:r>
        <w:t xml:space="preserve">Grievance </w:t>
      </w:r>
      <w:r w:rsidR="006E0B8E">
        <w:t>p</w:t>
      </w:r>
      <w:r>
        <w:t>rocess; and</w:t>
      </w:r>
    </w:p>
    <w:p w14:paraId="4FE81709" w14:textId="77777777" w:rsidR="006C2CD0" w:rsidRDefault="0080647A" w:rsidP="006C2CD0">
      <w:pPr>
        <w:pStyle w:val="ListParagraph"/>
        <w:numPr>
          <w:ilvl w:val="0"/>
          <w:numId w:val="2"/>
        </w:numPr>
      </w:pPr>
      <w:r>
        <w:t xml:space="preserve">Monitoring and reporting. </w:t>
      </w:r>
    </w:p>
    <w:p w14:paraId="4FE8170A" w14:textId="07BBD664" w:rsidR="006C2CD0" w:rsidRDefault="0080647A" w:rsidP="006C2CD0">
      <w:pPr>
        <w:pStyle w:val="Heading3"/>
        <w:numPr>
          <w:ilvl w:val="0"/>
          <w:numId w:val="3"/>
        </w:numPr>
        <w:ind w:left="426"/>
      </w:pPr>
      <w:r>
        <w:t xml:space="preserve">Purpose and objectives of engagement </w:t>
      </w:r>
    </w:p>
    <w:p w14:paraId="4FE8170B" w14:textId="3A5D5056" w:rsidR="006C2CD0" w:rsidRDefault="008843E2" w:rsidP="006C2CD0">
      <w:r>
        <w:t>The o</w:t>
      </w:r>
      <w:r w:rsidR="0080647A" w:rsidRPr="00FF5440">
        <w:t xml:space="preserve">verall purpose and objectives </w:t>
      </w:r>
      <w:r w:rsidR="008169CB" w:rsidRPr="00FF5440">
        <w:t>sh</w:t>
      </w:r>
      <w:r w:rsidR="008169CB">
        <w:t>ould</w:t>
      </w:r>
      <w:r w:rsidR="0080647A" w:rsidRPr="00FF5440">
        <w:t xml:space="preserve"> be</w:t>
      </w:r>
      <w:r w:rsidR="0080647A">
        <w:t xml:space="preserve"> established upfront. Depending on the company activity, phase of development, impacts triggered and stakeholders, the purpose and objectives of the engagement plan will vary. The overall purpose may include achieving and maintaining the company’s/project’s social licence to operate and </w:t>
      </w:r>
      <w:r w:rsidR="008169CB">
        <w:t>facilitating</w:t>
      </w:r>
      <w:r w:rsidR="0080647A">
        <w:t xml:space="preserve"> the successful setting and establishment of the company’s/project’s activity throughout its lifecycle. Specific objectives of an SEP may include ensuring inclusivity, prior and informed consultation with interested parties, timely disclosure of relevant information, and proactive engagement to anticipate and manage stakeholders</w:t>
      </w:r>
      <w:r w:rsidR="007375F5">
        <w:t>’</w:t>
      </w:r>
      <w:r w:rsidR="0080647A">
        <w:t xml:space="preserve"> concerns and expectations. </w:t>
      </w:r>
    </w:p>
    <w:p w14:paraId="4FE8170C" w14:textId="28DFB661" w:rsidR="006C2CD0" w:rsidRPr="0040069B" w:rsidRDefault="0080647A" w:rsidP="006C2CD0">
      <w:pPr>
        <w:pStyle w:val="Heading3"/>
        <w:numPr>
          <w:ilvl w:val="0"/>
          <w:numId w:val="3"/>
        </w:numPr>
        <w:ind w:left="426"/>
      </w:pPr>
      <w:r w:rsidRPr="0040069B">
        <w:t xml:space="preserve">Legal </w:t>
      </w:r>
      <w:r w:rsidR="006E0B8E">
        <w:t>and</w:t>
      </w:r>
      <w:r w:rsidRPr="0040069B">
        <w:t xml:space="preserve"> regulatory framework </w:t>
      </w:r>
    </w:p>
    <w:p w14:paraId="4FE8170D" w14:textId="118078D9" w:rsidR="006C2CD0" w:rsidRDefault="0080647A" w:rsidP="006C2CD0">
      <w:r w:rsidRPr="00C47204">
        <w:t>The regulatory framework may include national legal requirements (</w:t>
      </w:r>
      <w:r>
        <w:t>perhaps</w:t>
      </w:r>
      <w:r w:rsidRPr="00C47204">
        <w:t xml:space="preserve"> part of </w:t>
      </w:r>
      <w:r>
        <w:t xml:space="preserve">an </w:t>
      </w:r>
      <w:r w:rsidRPr="00C47204">
        <w:t>env</w:t>
      </w:r>
      <w:r>
        <w:t xml:space="preserve">ironmental </w:t>
      </w:r>
      <w:r w:rsidR="007375F5">
        <w:t>permitting</w:t>
      </w:r>
      <w:r>
        <w:t xml:space="preserve"> process or </w:t>
      </w:r>
      <w:r w:rsidR="006E0B8E">
        <w:t>e</w:t>
      </w:r>
      <w:r w:rsidR="006E0B8E" w:rsidRPr="00A62C38">
        <w:t xml:space="preserve">nvironmental and </w:t>
      </w:r>
      <w:r w:rsidR="006E0B8E">
        <w:t>s</w:t>
      </w:r>
      <w:r w:rsidR="006E0B8E" w:rsidRPr="00A62C38">
        <w:t xml:space="preserve">ocial </w:t>
      </w:r>
      <w:r w:rsidR="006E0B8E">
        <w:t>i</w:t>
      </w:r>
      <w:r w:rsidR="006E0B8E" w:rsidRPr="00A62C38">
        <w:t xml:space="preserve">mpact </w:t>
      </w:r>
      <w:r w:rsidR="006E0B8E">
        <w:t>a</w:t>
      </w:r>
      <w:r w:rsidR="006E0B8E" w:rsidRPr="00A62C38">
        <w:t xml:space="preserve">ssessment </w:t>
      </w:r>
      <w:r w:rsidR="006E0B8E">
        <w:t>(</w:t>
      </w:r>
      <w:r>
        <w:t>ES</w:t>
      </w:r>
      <w:r w:rsidRPr="00C47204">
        <w:t>IA</w:t>
      </w:r>
      <w:r w:rsidR="006E0B8E">
        <w:t>)</w:t>
      </w:r>
      <w:r w:rsidRPr="00C47204">
        <w:t xml:space="preserve"> disclosure requirements) as well as good international industry practice and guidance such as </w:t>
      </w:r>
      <w:r>
        <w:t xml:space="preserve">that in </w:t>
      </w:r>
      <w:r w:rsidRPr="00C47204">
        <w:t>IFC</w:t>
      </w:r>
      <w:r>
        <w:t xml:space="preserve"> </w:t>
      </w:r>
      <w:r w:rsidRPr="00C47204">
        <w:t>P</w:t>
      </w:r>
      <w:r w:rsidR="007375F5">
        <w:t xml:space="preserve">erformance </w:t>
      </w:r>
      <w:r w:rsidRPr="00C47204">
        <w:t>S</w:t>
      </w:r>
      <w:r w:rsidR="007375F5">
        <w:t xml:space="preserve">tandard </w:t>
      </w:r>
      <w:r w:rsidRPr="00C47204">
        <w:t>1.</w:t>
      </w:r>
      <w:r>
        <w:t xml:space="preserve"> </w:t>
      </w:r>
    </w:p>
    <w:p w14:paraId="4FE8170E" w14:textId="633B3C62" w:rsidR="006C2CD0" w:rsidRPr="0040069B" w:rsidRDefault="0080647A" w:rsidP="006C2CD0">
      <w:pPr>
        <w:pStyle w:val="Heading3"/>
        <w:numPr>
          <w:ilvl w:val="0"/>
          <w:numId w:val="3"/>
        </w:numPr>
        <w:ind w:left="426"/>
      </w:pPr>
      <w:r w:rsidRPr="0040069B">
        <w:t xml:space="preserve">Company/project description and issue identification </w:t>
      </w:r>
    </w:p>
    <w:p w14:paraId="4FE8170F" w14:textId="339EC40F" w:rsidR="006C2CD0" w:rsidRPr="00C47204" w:rsidRDefault="0080647A" w:rsidP="006C2CD0">
      <w:r>
        <w:t>Understanding the</w:t>
      </w:r>
      <w:r w:rsidRPr="00C47204">
        <w:t xml:space="preserve"> potential </w:t>
      </w:r>
      <w:r w:rsidR="008843E2">
        <w:t>E&amp;S</w:t>
      </w:r>
      <w:r>
        <w:t xml:space="preserve"> i</w:t>
      </w:r>
      <w:r w:rsidRPr="00C47204">
        <w:t xml:space="preserve">mpacts that </w:t>
      </w:r>
      <w:r>
        <w:t>may</w:t>
      </w:r>
      <w:r w:rsidRPr="00C47204">
        <w:t xml:space="preserve"> be triggered by the company’s </w:t>
      </w:r>
      <w:r>
        <w:t xml:space="preserve">or project’s </w:t>
      </w:r>
      <w:r w:rsidRPr="00C47204">
        <w:t xml:space="preserve">operations is the first step towards identifying </w:t>
      </w:r>
      <w:r>
        <w:t xml:space="preserve">relevant </w:t>
      </w:r>
      <w:r w:rsidRPr="00C47204">
        <w:t>stakeholders</w:t>
      </w:r>
      <w:r>
        <w:t>.</w:t>
      </w:r>
      <w:r w:rsidR="006E0B8E">
        <w:t xml:space="preserve"> </w:t>
      </w:r>
      <w:r>
        <w:t xml:space="preserve">This process can be originated by an </w:t>
      </w:r>
      <w:r w:rsidR="008E0182">
        <w:t>ESIA or</w:t>
      </w:r>
      <w:r>
        <w:t xml:space="preserve"> may be determined through a less formal analysis early in the </w:t>
      </w:r>
      <w:r w:rsidR="00D17B99">
        <w:t>transaction approval</w:t>
      </w:r>
      <w:r>
        <w:t>. The sooner impacts and influential stakeholders are identified and start to be engaged, the better</w:t>
      </w:r>
      <w:r w:rsidR="008843E2">
        <w:t xml:space="preserve"> </w:t>
      </w:r>
      <w:r w:rsidR="008169CB">
        <w:t>placed a company is to manage stakeholder expectations</w:t>
      </w:r>
      <w:r>
        <w:t>. Company or project impacts can relate</w:t>
      </w:r>
      <w:r w:rsidR="007375F5">
        <w:t>,</w:t>
      </w:r>
      <w:r>
        <w:t xml:space="preserve"> for example</w:t>
      </w:r>
      <w:r w:rsidR="007375F5">
        <w:t>,</w:t>
      </w:r>
      <w:r>
        <w:t xml:space="preserve"> to community health and safety triggered by noise, air emissions or waste generated by the company, increases in road or river traffic</w:t>
      </w:r>
      <w:r w:rsidR="00EF28B2">
        <w:t>,</w:t>
      </w:r>
      <w:r>
        <w:t xml:space="preserve"> or restriction</w:t>
      </w:r>
      <w:r w:rsidR="00EF28B2">
        <w:t>s</w:t>
      </w:r>
      <w:r>
        <w:t xml:space="preserve"> in economic opportunities </w:t>
      </w:r>
      <w:r w:rsidR="00FF2F4B">
        <w:t>because of loss of access to resources</w:t>
      </w:r>
      <w:r>
        <w:t xml:space="preserve">. For more information, refer to </w:t>
      </w:r>
      <w:r w:rsidR="00405669">
        <w:t xml:space="preserve">the </w:t>
      </w:r>
      <w:hyperlink r:id="rId10" w:history="1">
        <w:r w:rsidRPr="007375F5">
          <w:rPr>
            <w:rStyle w:val="Hyperlink"/>
          </w:rPr>
          <w:t xml:space="preserve"> Community Health, Safety and Security</w:t>
        </w:r>
      </w:hyperlink>
      <w:r w:rsidR="008E0182">
        <w:rPr>
          <w:rStyle w:val="Hyperlink"/>
        </w:rPr>
        <w:t xml:space="preserve"> </w:t>
      </w:r>
      <w:r w:rsidR="008E0182" w:rsidRPr="008E0182">
        <w:rPr>
          <w:rStyle w:val="Hyperlink"/>
          <w:color w:val="auto"/>
          <w:u w:val="none"/>
        </w:rPr>
        <w:t>in the section</w:t>
      </w:r>
      <w:r>
        <w:t>.</w:t>
      </w:r>
    </w:p>
    <w:p w14:paraId="4FE81710" w14:textId="2224087F" w:rsidR="006C2CD0" w:rsidRPr="0040069B" w:rsidRDefault="0080647A" w:rsidP="006C2CD0">
      <w:pPr>
        <w:pStyle w:val="Heading3"/>
        <w:numPr>
          <w:ilvl w:val="0"/>
          <w:numId w:val="3"/>
        </w:numPr>
        <w:ind w:left="426"/>
      </w:pPr>
      <w:r w:rsidRPr="0040069B">
        <w:t xml:space="preserve">Stakeholder identification and mapping </w:t>
      </w:r>
    </w:p>
    <w:p w14:paraId="4FE81711" w14:textId="60E6A34A" w:rsidR="006C2CD0" w:rsidRDefault="007375F5" w:rsidP="006C2CD0">
      <w:pPr>
        <w:rPr>
          <w:rStyle w:val="Hyperlink"/>
          <w:b/>
        </w:rPr>
      </w:pPr>
      <w:r>
        <w:t>P</w:t>
      </w:r>
      <w:r w:rsidR="0080647A" w:rsidRPr="007A7BE4">
        <w:t>riorit</w:t>
      </w:r>
      <w:r>
        <w:t>ies</w:t>
      </w:r>
      <w:r w:rsidR="0080647A" w:rsidRPr="007A7BE4">
        <w:t xml:space="preserve"> for</w:t>
      </w:r>
      <w:r w:rsidR="0080647A">
        <w:t xml:space="preserve"> engagement</w:t>
      </w:r>
      <w:r w:rsidR="0080647A" w:rsidRPr="00C47204">
        <w:t xml:space="preserve"> can be determined by understanding each stakeholder’s influence </w:t>
      </w:r>
      <w:r w:rsidR="008169CB">
        <w:t xml:space="preserve">and </w:t>
      </w:r>
      <w:r w:rsidR="00FF2F4B">
        <w:t>the impact of company operations on that individual/group</w:t>
      </w:r>
      <w:r w:rsidR="0080647A" w:rsidRPr="00C47204">
        <w:t xml:space="preserve">. This is termed </w:t>
      </w:r>
      <w:r w:rsidR="00405669">
        <w:t>‘</w:t>
      </w:r>
      <w:r w:rsidR="0080647A" w:rsidRPr="00C47204">
        <w:t>stakeholder mapping</w:t>
      </w:r>
      <w:r w:rsidR="00405669">
        <w:t>’</w:t>
      </w:r>
      <w:r w:rsidR="0080647A">
        <w:t xml:space="preserve">. </w:t>
      </w:r>
      <w:r w:rsidR="0080647A" w:rsidRPr="00C47204">
        <w:t>Stakeholder impact is defined as the extent to which the interests of a s</w:t>
      </w:r>
      <w:r w:rsidR="0080647A">
        <w:t xml:space="preserve">takeholder are affected by the company or project. Influence </w:t>
      </w:r>
      <w:r w:rsidR="0080647A" w:rsidRPr="00C47204">
        <w:t xml:space="preserve">refers to the power that a stakeholder has over the </w:t>
      </w:r>
      <w:r w:rsidR="00EF28B2">
        <w:t>c</w:t>
      </w:r>
      <w:r w:rsidR="0080647A">
        <w:t>ompany</w:t>
      </w:r>
      <w:r>
        <w:t>’s</w:t>
      </w:r>
      <w:r w:rsidR="0080647A">
        <w:t xml:space="preserve"> </w:t>
      </w:r>
      <w:r w:rsidR="0080647A">
        <w:lastRenderedPageBreak/>
        <w:t>operations</w:t>
      </w:r>
      <w:r w:rsidR="00FF2F4B">
        <w:t xml:space="preserve"> (including its social licence to operate)</w:t>
      </w:r>
      <w:r w:rsidR="0080647A">
        <w:t>. Analysing stakeholders</w:t>
      </w:r>
      <w:r w:rsidR="00EF28B2">
        <w:t>’</w:t>
      </w:r>
      <w:r w:rsidR="0080647A">
        <w:t xml:space="preserve"> influence and impact will allow prioritisation and strategic decisions </w:t>
      </w:r>
      <w:r w:rsidR="00EF28B2">
        <w:t>about</w:t>
      </w:r>
      <w:r w:rsidR="0080647A">
        <w:t xml:space="preserve"> the engagement approach. </w:t>
      </w:r>
    </w:p>
    <w:p w14:paraId="4FE81713" w14:textId="5A1B7068" w:rsidR="006C2CD0" w:rsidRPr="0040069B" w:rsidRDefault="0080647A" w:rsidP="006C2CD0">
      <w:pPr>
        <w:pStyle w:val="Heading3"/>
        <w:numPr>
          <w:ilvl w:val="0"/>
          <w:numId w:val="3"/>
        </w:numPr>
        <w:ind w:left="426"/>
      </w:pPr>
      <w:r w:rsidRPr="0040069B">
        <w:t>Engagement plan</w:t>
      </w:r>
      <w:r>
        <w:t xml:space="preserve"> implementation</w:t>
      </w:r>
      <w:r w:rsidRPr="0040069B">
        <w:t xml:space="preserve"> (methods, objective, approach, </w:t>
      </w:r>
      <w:proofErr w:type="gramStart"/>
      <w:r w:rsidRPr="0040069B">
        <w:t>tools</w:t>
      </w:r>
      <w:proofErr w:type="gramEnd"/>
      <w:r w:rsidRPr="0040069B">
        <w:t xml:space="preserve"> </w:t>
      </w:r>
      <w:r w:rsidR="00EF28B2">
        <w:t>and</w:t>
      </w:r>
      <w:r w:rsidRPr="0040069B">
        <w:t xml:space="preserve"> materials) </w:t>
      </w:r>
    </w:p>
    <w:p w14:paraId="4FE81714" w14:textId="4452B7E0" w:rsidR="006C2CD0" w:rsidRPr="00EF4CEC" w:rsidRDefault="0080647A" w:rsidP="006C2CD0">
      <w:r>
        <w:t xml:space="preserve">The approach to engagement will vary from information disclosure (typically through mass media, national </w:t>
      </w:r>
      <w:r w:rsidR="00FF2F4B">
        <w:t xml:space="preserve">and local </w:t>
      </w:r>
      <w:r>
        <w:t>press or radio communications</w:t>
      </w:r>
      <w:r w:rsidR="00405669">
        <w:t xml:space="preserve"> that are</w:t>
      </w:r>
      <w:r>
        <w:t xml:space="preserve"> </w:t>
      </w:r>
      <w:proofErr w:type="spellStart"/>
      <w:r>
        <w:t>uni</w:t>
      </w:r>
      <w:proofErr w:type="spellEnd"/>
      <w:r w:rsidR="007375F5">
        <w:t>-</w:t>
      </w:r>
      <w:r>
        <w:t>directional and capable of reaching wider audiences) to in-depth engagement (one</w:t>
      </w:r>
      <w:r w:rsidR="00EF28B2">
        <w:t>-</w:t>
      </w:r>
      <w:r>
        <w:t>to</w:t>
      </w:r>
      <w:r w:rsidR="00EF28B2">
        <w:t>-</w:t>
      </w:r>
      <w:r>
        <w:t xml:space="preserve">one meetings, letters or calls which are </w:t>
      </w:r>
      <w:r w:rsidR="007375F5">
        <w:t>two-way</w:t>
      </w:r>
      <w:r>
        <w:t xml:space="preserve">, relatively frequent and may seek approvals, deal with specific issues or concerns, or seek collaboration opportunities). The SEP should establish the objectives of engagement with different stakeholder groups (depending on </w:t>
      </w:r>
      <w:r w:rsidR="007375F5">
        <w:t xml:space="preserve">the </w:t>
      </w:r>
      <w:r>
        <w:t>priority assigned)</w:t>
      </w:r>
      <w:r w:rsidR="00405669">
        <w:t xml:space="preserve"> and</w:t>
      </w:r>
      <w:r>
        <w:t xml:space="preserve"> which forms of engagement </w:t>
      </w:r>
      <w:r w:rsidR="00FF2F4B">
        <w:t>are most appropriate</w:t>
      </w:r>
      <w:r>
        <w:t xml:space="preserve">, and </w:t>
      </w:r>
      <w:r w:rsidR="00405669">
        <w:t xml:space="preserve">should </w:t>
      </w:r>
      <w:r>
        <w:t>define the tools</w:t>
      </w:r>
      <w:r w:rsidR="00FF2F4B">
        <w:t xml:space="preserve">, resources, </w:t>
      </w:r>
      <w:proofErr w:type="gramStart"/>
      <w:r w:rsidR="00FF2F4B">
        <w:t>effort</w:t>
      </w:r>
      <w:proofErr w:type="gramEnd"/>
      <w:r>
        <w:t xml:space="preserve"> and materials to be used. </w:t>
      </w:r>
    </w:p>
    <w:p w14:paraId="4FE81715" w14:textId="3464F7AC" w:rsidR="006C2CD0" w:rsidRPr="0040069B" w:rsidRDefault="0080647A" w:rsidP="006C2CD0">
      <w:pPr>
        <w:pStyle w:val="Heading3"/>
        <w:numPr>
          <w:ilvl w:val="0"/>
          <w:numId w:val="3"/>
        </w:numPr>
        <w:ind w:left="426"/>
      </w:pPr>
      <w:r w:rsidRPr="0040069B">
        <w:t xml:space="preserve">Roles and responsibilities </w:t>
      </w:r>
    </w:p>
    <w:p w14:paraId="4FE81716" w14:textId="4FEFEED3" w:rsidR="006C2CD0" w:rsidRDefault="0080647A" w:rsidP="006C2CD0">
      <w:r w:rsidRPr="002C2F44">
        <w:t xml:space="preserve">An SEP </w:t>
      </w:r>
      <w:r>
        <w:t>should clearly</w:t>
      </w:r>
      <w:r w:rsidRPr="002C2F44">
        <w:t xml:space="preserve"> define who will lead the engagement activities, who will record and keep track o</w:t>
      </w:r>
      <w:r>
        <w:t>f</w:t>
      </w:r>
      <w:r w:rsidRPr="002C2F44">
        <w:t xml:space="preserve"> activities</w:t>
      </w:r>
      <w:r w:rsidR="007375F5">
        <w:t>,</w:t>
      </w:r>
      <w:r>
        <w:t xml:space="preserve"> as well as grievances,</w:t>
      </w:r>
      <w:r w:rsidRPr="002C2F44">
        <w:t xml:space="preserve"> and how</w:t>
      </w:r>
      <w:r>
        <w:t xml:space="preserve"> feedback,</w:t>
      </w:r>
      <w:r w:rsidRPr="002C2F44">
        <w:t xml:space="preserve"> concerns or issues raised will be dealt with or escalated.</w:t>
      </w:r>
      <w:r w:rsidR="006E0B8E">
        <w:t xml:space="preserve"> </w:t>
      </w:r>
      <w:r w:rsidR="00FF2F4B">
        <w:t>It also needs to describe governance and oversight mechanisms and indicate who from senior management/</w:t>
      </w:r>
      <w:r w:rsidR="007375F5">
        <w:t>b</w:t>
      </w:r>
      <w:r w:rsidR="00FF2F4B">
        <w:t xml:space="preserve">oard has ultimate responsibility for delivering effective </w:t>
      </w:r>
      <w:r w:rsidR="00EF28B2">
        <w:t>stakeholder engagement</w:t>
      </w:r>
      <w:r w:rsidR="008169CB">
        <w:t>.</w:t>
      </w:r>
    </w:p>
    <w:p w14:paraId="4FE81717" w14:textId="43D707D0" w:rsidR="006C2CD0" w:rsidRPr="0040069B" w:rsidRDefault="0080647A" w:rsidP="006C2CD0">
      <w:pPr>
        <w:pStyle w:val="Heading3"/>
        <w:numPr>
          <w:ilvl w:val="0"/>
          <w:numId w:val="3"/>
        </w:numPr>
        <w:ind w:left="426"/>
      </w:pPr>
      <w:r w:rsidRPr="0040069B">
        <w:t xml:space="preserve">Summary of </w:t>
      </w:r>
      <w:r w:rsidR="006E0B8E">
        <w:t>e</w:t>
      </w:r>
      <w:r w:rsidRPr="0040069B">
        <w:t xml:space="preserve">ngagement </w:t>
      </w:r>
      <w:r w:rsidR="006E0B8E">
        <w:t>a</w:t>
      </w:r>
      <w:r w:rsidRPr="0040069B">
        <w:t xml:space="preserve">ctivities </w:t>
      </w:r>
    </w:p>
    <w:p w14:paraId="4FE81718" w14:textId="7E044509" w:rsidR="006C2CD0" w:rsidRPr="000E6D83" w:rsidRDefault="0080647A" w:rsidP="006C2CD0">
      <w:pPr>
        <w:rPr>
          <w:b/>
        </w:rPr>
      </w:pPr>
      <w:r w:rsidRPr="0040069B">
        <w:t>A summary of consultation activities, stakeholder concerns, issues</w:t>
      </w:r>
      <w:r>
        <w:t xml:space="preserve">/opportunities </w:t>
      </w:r>
      <w:proofErr w:type="gramStart"/>
      <w:r w:rsidRPr="0040069B">
        <w:t>identified</w:t>
      </w:r>
      <w:proofErr w:type="gramEnd"/>
      <w:r w:rsidRPr="0040069B">
        <w:t xml:space="preserve"> and commitments made </w:t>
      </w:r>
      <w:r>
        <w:t xml:space="preserve">at </w:t>
      </w:r>
      <w:r w:rsidRPr="0040069B">
        <w:t>meetings would normally</w:t>
      </w:r>
      <w:r w:rsidR="007375F5">
        <w:t xml:space="preserve"> be registered in a stakeholder</w:t>
      </w:r>
      <w:r w:rsidRPr="0040069B">
        <w:t xml:space="preserve"> consultation database. </w:t>
      </w:r>
    </w:p>
    <w:p w14:paraId="4FE81719" w14:textId="0C7A300D" w:rsidR="006C2CD0" w:rsidRPr="0040069B" w:rsidRDefault="0080647A" w:rsidP="006C2CD0">
      <w:pPr>
        <w:pStyle w:val="Heading3"/>
        <w:numPr>
          <w:ilvl w:val="0"/>
          <w:numId w:val="3"/>
        </w:numPr>
        <w:ind w:left="426"/>
      </w:pPr>
      <w:r w:rsidRPr="0040069B">
        <w:t xml:space="preserve">Grievance </w:t>
      </w:r>
      <w:r w:rsidR="006E0B8E">
        <w:t>p</w:t>
      </w:r>
      <w:r w:rsidRPr="0040069B">
        <w:t>rocess</w:t>
      </w:r>
    </w:p>
    <w:p w14:paraId="4FE8171A" w14:textId="44F007EA" w:rsidR="006C2CD0" w:rsidRPr="000E6D83" w:rsidRDefault="0080647A" w:rsidP="006C2CD0">
      <w:pPr>
        <w:rPr>
          <w:b/>
        </w:rPr>
      </w:pPr>
      <w:r w:rsidRPr="006E1B5D">
        <w:t xml:space="preserve">Companies </w:t>
      </w:r>
      <w:r>
        <w:t xml:space="preserve">and projects </w:t>
      </w:r>
      <w:r w:rsidRPr="006E1B5D">
        <w:t xml:space="preserve">can benefit from </w:t>
      </w:r>
      <w:r>
        <w:t xml:space="preserve">understanding stakeholder </w:t>
      </w:r>
      <w:r w:rsidR="00FF2F4B">
        <w:t>grievance</w:t>
      </w:r>
      <w:r w:rsidR="00FF2F4B" w:rsidRPr="006E1B5D">
        <w:t xml:space="preserve">s </w:t>
      </w:r>
      <w:r w:rsidRPr="006E1B5D">
        <w:t>and</w:t>
      </w:r>
      <w:r>
        <w:t xml:space="preserve"> </w:t>
      </w:r>
      <w:r w:rsidRPr="006E1B5D">
        <w:t>addressing them</w:t>
      </w:r>
      <w:r>
        <w:t xml:space="preserve"> in a timely manner</w:t>
      </w:r>
      <w:r w:rsidRPr="006E1B5D">
        <w:t>.</w:t>
      </w:r>
      <w:r>
        <w:t xml:space="preserve"> </w:t>
      </w:r>
    </w:p>
    <w:p w14:paraId="4FE8171B" w14:textId="5863608F" w:rsidR="006C2CD0" w:rsidRPr="0040069B" w:rsidRDefault="0080647A" w:rsidP="006C2CD0">
      <w:pPr>
        <w:pStyle w:val="Heading3"/>
        <w:numPr>
          <w:ilvl w:val="0"/>
          <w:numId w:val="3"/>
        </w:numPr>
        <w:ind w:left="426"/>
      </w:pPr>
      <w:r w:rsidRPr="0040069B">
        <w:t xml:space="preserve">Monitoring and reporting </w:t>
      </w:r>
    </w:p>
    <w:p w14:paraId="4FE8171C" w14:textId="12D4E2AE" w:rsidR="006C2CD0" w:rsidRDefault="0080647A" w:rsidP="006C2CD0">
      <w:r w:rsidRPr="006E1B5D">
        <w:t>Engagement activities, concerns and stakeholder perceptions should be monitored and acted on.</w:t>
      </w:r>
      <w:r>
        <w:t xml:space="preserve"> </w:t>
      </w:r>
      <w:r w:rsidRPr="006E1B5D">
        <w:t xml:space="preserve">Outcomes of engagement activities and grievance management </w:t>
      </w:r>
      <w:r>
        <w:t>should</w:t>
      </w:r>
      <w:r w:rsidRPr="006E1B5D">
        <w:t xml:space="preserve"> be part of annual monitoring reports prepared by the company</w:t>
      </w:r>
      <w:r>
        <w:t xml:space="preserve"> or project. Companies should seek continuous improvement in stakeholder perception</w:t>
      </w:r>
      <w:r w:rsidR="00EF28B2">
        <w:t>s</w:t>
      </w:r>
      <w:r>
        <w:t xml:space="preserve"> of the company or project and on how grievances are managed. For example, by aiming at reducing </w:t>
      </w:r>
      <w:r w:rsidR="007375F5">
        <w:t xml:space="preserve">the </w:t>
      </w:r>
      <w:r>
        <w:t xml:space="preserve">time </w:t>
      </w:r>
      <w:r w:rsidR="007375F5">
        <w:t>taken</w:t>
      </w:r>
      <w:r>
        <w:t xml:space="preserve"> to address </w:t>
      </w:r>
      <w:proofErr w:type="gramStart"/>
      <w:r>
        <w:t>grievances, or</w:t>
      </w:r>
      <w:proofErr w:type="gramEnd"/>
      <w:r>
        <w:t xml:space="preserve"> improving the perception of the company or project</w:t>
      </w:r>
      <w:r w:rsidRPr="006E1B5D">
        <w:t>. Information and feedback received from engagement activities can be a useful source of information for identif</w:t>
      </w:r>
      <w:r w:rsidR="00EF28B2">
        <w:t>ying</w:t>
      </w:r>
      <w:r w:rsidRPr="006E1B5D">
        <w:t xml:space="preserve"> community investment opportunities</w:t>
      </w:r>
      <w:r>
        <w:t xml:space="preserve"> or opportunities for shared value</w:t>
      </w:r>
      <w:r w:rsidRPr="006E1B5D">
        <w:t>.</w:t>
      </w:r>
      <w:r>
        <w:t xml:space="preserve"> </w:t>
      </w:r>
    </w:p>
    <w:p w14:paraId="4FE8171D" w14:textId="77777777" w:rsidR="006C5900" w:rsidRDefault="00D17B99"/>
    <w:sectPr w:rsidR="006C5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3D13"/>
    <w:multiLevelType w:val="hybridMultilevel"/>
    <w:tmpl w:val="734CB8DC"/>
    <w:lvl w:ilvl="0" w:tplc="67EC3EB8">
      <w:start w:val="1"/>
      <w:numFmt w:val="decimal"/>
      <w:lvlText w:val="%1."/>
      <w:lvlJc w:val="left"/>
      <w:pPr>
        <w:ind w:left="720" w:hanging="360"/>
      </w:pPr>
      <w:rPr>
        <w:rFonts w:hint="default"/>
      </w:rPr>
    </w:lvl>
    <w:lvl w:ilvl="1" w:tplc="AA20218C" w:tentative="1">
      <w:start w:val="1"/>
      <w:numFmt w:val="bullet"/>
      <w:lvlText w:val="o"/>
      <w:lvlJc w:val="left"/>
      <w:pPr>
        <w:ind w:left="1440" w:hanging="360"/>
      </w:pPr>
      <w:rPr>
        <w:rFonts w:ascii="Courier New" w:hAnsi="Courier New" w:cs="Courier New" w:hint="default"/>
      </w:rPr>
    </w:lvl>
    <w:lvl w:ilvl="2" w:tplc="60AAD28E" w:tentative="1">
      <w:start w:val="1"/>
      <w:numFmt w:val="bullet"/>
      <w:lvlText w:val=""/>
      <w:lvlJc w:val="left"/>
      <w:pPr>
        <w:ind w:left="2160" w:hanging="360"/>
      </w:pPr>
      <w:rPr>
        <w:rFonts w:ascii="Wingdings" w:hAnsi="Wingdings" w:hint="default"/>
      </w:rPr>
    </w:lvl>
    <w:lvl w:ilvl="3" w:tplc="334EB9C2" w:tentative="1">
      <w:start w:val="1"/>
      <w:numFmt w:val="bullet"/>
      <w:lvlText w:val=""/>
      <w:lvlJc w:val="left"/>
      <w:pPr>
        <w:ind w:left="2880" w:hanging="360"/>
      </w:pPr>
      <w:rPr>
        <w:rFonts w:ascii="Symbol" w:hAnsi="Symbol" w:hint="default"/>
      </w:rPr>
    </w:lvl>
    <w:lvl w:ilvl="4" w:tplc="CEEEFC54" w:tentative="1">
      <w:start w:val="1"/>
      <w:numFmt w:val="bullet"/>
      <w:lvlText w:val="o"/>
      <w:lvlJc w:val="left"/>
      <w:pPr>
        <w:ind w:left="3600" w:hanging="360"/>
      </w:pPr>
      <w:rPr>
        <w:rFonts w:ascii="Courier New" w:hAnsi="Courier New" w:cs="Courier New" w:hint="default"/>
      </w:rPr>
    </w:lvl>
    <w:lvl w:ilvl="5" w:tplc="DF2E9674" w:tentative="1">
      <w:start w:val="1"/>
      <w:numFmt w:val="bullet"/>
      <w:lvlText w:val=""/>
      <w:lvlJc w:val="left"/>
      <w:pPr>
        <w:ind w:left="4320" w:hanging="360"/>
      </w:pPr>
      <w:rPr>
        <w:rFonts w:ascii="Wingdings" w:hAnsi="Wingdings" w:hint="default"/>
      </w:rPr>
    </w:lvl>
    <w:lvl w:ilvl="6" w:tplc="44BAEFDA" w:tentative="1">
      <w:start w:val="1"/>
      <w:numFmt w:val="bullet"/>
      <w:lvlText w:val=""/>
      <w:lvlJc w:val="left"/>
      <w:pPr>
        <w:ind w:left="5040" w:hanging="360"/>
      </w:pPr>
      <w:rPr>
        <w:rFonts w:ascii="Symbol" w:hAnsi="Symbol" w:hint="default"/>
      </w:rPr>
    </w:lvl>
    <w:lvl w:ilvl="7" w:tplc="1A78B6E4" w:tentative="1">
      <w:start w:val="1"/>
      <w:numFmt w:val="bullet"/>
      <w:lvlText w:val="o"/>
      <w:lvlJc w:val="left"/>
      <w:pPr>
        <w:ind w:left="5760" w:hanging="360"/>
      </w:pPr>
      <w:rPr>
        <w:rFonts w:ascii="Courier New" w:hAnsi="Courier New" w:cs="Courier New" w:hint="default"/>
      </w:rPr>
    </w:lvl>
    <w:lvl w:ilvl="8" w:tplc="FAC87824"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97449D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78745DB"/>
    <w:multiLevelType w:val="hybridMultilevel"/>
    <w:tmpl w:val="A4E8CDE4"/>
    <w:lvl w:ilvl="0" w:tplc="FC8C4996">
      <w:start w:val="1"/>
      <w:numFmt w:val="decimal"/>
      <w:lvlText w:val="%1."/>
      <w:lvlJc w:val="left"/>
      <w:pPr>
        <w:ind w:left="720" w:hanging="360"/>
      </w:pPr>
      <w:rPr>
        <w:rFonts w:hint="default"/>
      </w:rPr>
    </w:lvl>
    <w:lvl w:ilvl="1" w:tplc="59208872" w:tentative="1">
      <w:start w:val="1"/>
      <w:numFmt w:val="lowerLetter"/>
      <w:lvlText w:val="%2."/>
      <w:lvlJc w:val="left"/>
      <w:pPr>
        <w:ind w:left="1440" w:hanging="360"/>
      </w:pPr>
    </w:lvl>
    <w:lvl w:ilvl="2" w:tplc="F9E8EF80" w:tentative="1">
      <w:start w:val="1"/>
      <w:numFmt w:val="lowerRoman"/>
      <w:lvlText w:val="%3."/>
      <w:lvlJc w:val="right"/>
      <w:pPr>
        <w:ind w:left="2160" w:hanging="180"/>
      </w:pPr>
    </w:lvl>
    <w:lvl w:ilvl="3" w:tplc="ABAA1DE6" w:tentative="1">
      <w:start w:val="1"/>
      <w:numFmt w:val="decimal"/>
      <w:lvlText w:val="%4."/>
      <w:lvlJc w:val="left"/>
      <w:pPr>
        <w:ind w:left="2880" w:hanging="360"/>
      </w:pPr>
    </w:lvl>
    <w:lvl w:ilvl="4" w:tplc="7F6E2800" w:tentative="1">
      <w:start w:val="1"/>
      <w:numFmt w:val="lowerLetter"/>
      <w:lvlText w:val="%5."/>
      <w:lvlJc w:val="left"/>
      <w:pPr>
        <w:ind w:left="3600" w:hanging="360"/>
      </w:pPr>
    </w:lvl>
    <w:lvl w:ilvl="5" w:tplc="F5C42B76" w:tentative="1">
      <w:start w:val="1"/>
      <w:numFmt w:val="lowerRoman"/>
      <w:lvlText w:val="%6."/>
      <w:lvlJc w:val="right"/>
      <w:pPr>
        <w:ind w:left="4320" w:hanging="180"/>
      </w:pPr>
    </w:lvl>
    <w:lvl w:ilvl="6" w:tplc="CA3A88D8" w:tentative="1">
      <w:start w:val="1"/>
      <w:numFmt w:val="decimal"/>
      <w:lvlText w:val="%7."/>
      <w:lvlJc w:val="left"/>
      <w:pPr>
        <w:ind w:left="5040" w:hanging="360"/>
      </w:pPr>
    </w:lvl>
    <w:lvl w:ilvl="7" w:tplc="60A64CB0" w:tentative="1">
      <w:start w:val="1"/>
      <w:numFmt w:val="lowerLetter"/>
      <w:lvlText w:val="%8."/>
      <w:lvlJc w:val="left"/>
      <w:pPr>
        <w:ind w:left="5760" w:hanging="360"/>
      </w:pPr>
    </w:lvl>
    <w:lvl w:ilvl="8" w:tplc="5268B21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D"/>
    <w:rsid w:val="0037423D"/>
    <w:rsid w:val="00405669"/>
    <w:rsid w:val="00566D33"/>
    <w:rsid w:val="006E0B8E"/>
    <w:rsid w:val="007375F5"/>
    <w:rsid w:val="007A7BE4"/>
    <w:rsid w:val="0080647A"/>
    <w:rsid w:val="008169CB"/>
    <w:rsid w:val="008843E2"/>
    <w:rsid w:val="008E0182"/>
    <w:rsid w:val="00C702D5"/>
    <w:rsid w:val="00D17B99"/>
    <w:rsid w:val="00D37CAD"/>
    <w:rsid w:val="00EF28B2"/>
    <w:rsid w:val="00F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16FE"/>
  <w15:chartTrackingRefBased/>
  <w15:docId w15:val="{DAAB6BE8-37C5-453F-A429-5F7B0378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D0"/>
    <w:rPr>
      <w:rFonts w:eastAsiaTheme="minorEastAsia"/>
    </w:rPr>
  </w:style>
  <w:style w:type="paragraph" w:styleId="Heading1">
    <w:name w:val="heading 1"/>
    <w:basedOn w:val="Normal"/>
    <w:next w:val="Normal"/>
    <w:link w:val="Heading1Char"/>
    <w:uiPriority w:val="9"/>
    <w:qFormat/>
    <w:rsid w:val="006C2CD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C2CD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C2CD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C2CD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C2CD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C2CD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C2C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2C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2C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D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C2CD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C2CD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C2CD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6C2CD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C2CD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C2C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2C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2CD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C2CD0"/>
    <w:pPr>
      <w:ind w:left="720"/>
      <w:contextualSpacing/>
    </w:pPr>
  </w:style>
  <w:style w:type="character" w:styleId="Hyperlink">
    <w:name w:val="Hyperlink"/>
    <w:basedOn w:val="DefaultParagraphFont"/>
    <w:uiPriority w:val="99"/>
    <w:unhideWhenUsed/>
    <w:rsid w:val="006C2CD0"/>
    <w:rPr>
      <w:color w:val="0563C1" w:themeColor="hyperlink"/>
      <w:u w:val="single"/>
    </w:rPr>
  </w:style>
  <w:style w:type="character" w:styleId="CommentReference">
    <w:name w:val="annotation reference"/>
    <w:basedOn w:val="DefaultParagraphFont"/>
    <w:uiPriority w:val="99"/>
    <w:semiHidden/>
    <w:unhideWhenUsed/>
    <w:rsid w:val="006C2CD0"/>
    <w:rPr>
      <w:sz w:val="16"/>
      <w:szCs w:val="16"/>
    </w:rPr>
  </w:style>
  <w:style w:type="paragraph" w:styleId="CommentText">
    <w:name w:val="annotation text"/>
    <w:basedOn w:val="Normal"/>
    <w:link w:val="CommentTextChar"/>
    <w:uiPriority w:val="99"/>
    <w:semiHidden/>
    <w:unhideWhenUsed/>
    <w:rsid w:val="006C2CD0"/>
    <w:pPr>
      <w:spacing w:line="240" w:lineRule="auto"/>
    </w:pPr>
    <w:rPr>
      <w:sz w:val="20"/>
      <w:szCs w:val="20"/>
    </w:rPr>
  </w:style>
  <w:style w:type="character" w:customStyle="1" w:styleId="CommentTextChar">
    <w:name w:val="Comment Text Char"/>
    <w:basedOn w:val="DefaultParagraphFont"/>
    <w:link w:val="CommentText"/>
    <w:uiPriority w:val="99"/>
    <w:semiHidden/>
    <w:rsid w:val="006C2CD0"/>
    <w:rPr>
      <w:rFonts w:eastAsiaTheme="minorEastAsia"/>
      <w:sz w:val="20"/>
      <w:szCs w:val="20"/>
    </w:rPr>
  </w:style>
  <w:style w:type="paragraph" w:styleId="BalloonText">
    <w:name w:val="Balloon Text"/>
    <w:basedOn w:val="Normal"/>
    <w:link w:val="BalloonTextChar"/>
    <w:uiPriority w:val="99"/>
    <w:semiHidden/>
    <w:unhideWhenUsed/>
    <w:rsid w:val="006C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D0"/>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E0B8E"/>
    <w:rPr>
      <w:b/>
      <w:bCs/>
    </w:rPr>
  </w:style>
  <w:style w:type="character" w:customStyle="1" w:styleId="CommentSubjectChar">
    <w:name w:val="Comment Subject Char"/>
    <w:basedOn w:val="CommentTextChar"/>
    <w:link w:val="CommentSubject"/>
    <w:uiPriority w:val="99"/>
    <w:semiHidden/>
    <w:rsid w:val="006E0B8E"/>
    <w:rPr>
      <w:rFonts w:eastAsiaTheme="minorEastAsia"/>
      <w:b/>
      <w:bCs/>
      <w:sz w:val="20"/>
      <w:szCs w:val="20"/>
    </w:rPr>
  </w:style>
  <w:style w:type="character" w:styleId="FollowedHyperlink">
    <w:name w:val="FollowedHyperlink"/>
    <w:basedOn w:val="DefaultParagraphFont"/>
    <w:uiPriority w:val="99"/>
    <w:semiHidden/>
    <w:unhideWhenUsed/>
    <w:rsid w:val="00405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toolkit.cdcgroup.com/e-and-s-briefing-notes/communit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0cb497-4044-4cf2-90cc-f4ae0dbc3665">
      <Value>33</Value>
    </TaxCatchAll>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Environmental and Social Responsibility</TermName>
          <TermId xmlns="http://schemas.microsoft.com/office/infopath/2007/PartnerControls">33ad2915-8861-4337-ac5a-5f7bdfeb2377</TermId>
        </TermInfo>
      </Terms>
    </e60208c032404629b4d3226b63133635>
    <m84d7c7f63cb451b899bccc83df50b61 xmlns="870cb497-4044-4cf2-90cc-f4ae0dbc3665">
      <Terms xmlns="http://schemas.microsoft.com/office/infopath/2007/PartnerControls"/>
    </m84d7c7f63cb451b899bccc83df50b6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5800705-6cab-460c-b450-fee685b6c533" ContentTypeId="0x0101001AE287E3BCC07049AAD0134B3AFED405" PreviousValue="false"/>
</file>

<file path=customXml/item4.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61BC1EB75EAE4B8302D2DAADBDEFBF" ma:contentTypeVersion="0" ma:contentTypeDescription="" ma:contentTypeScope="" ma:versionID="65ed454673d25e1926b3e785eec3f986">
  <xsd:schema xmlns:xsd="http://www.w3.org/2001/XMLSchema" xmlns:xs="http://www.w3.org/2001/XMLSchema" xmlns:p="http://schemas.microsoft.com/office/2006/metadata/properties" xmlns:ns2="870cb497-4044-4cf2-90cc-f4ae0dbc3665" targetNamespace="http://schemas.microsoft.com/office/2006/metadata/properties" ma:root="true" ma:fieldsID="16fb5be2929f0efc3934c1d345e5733f"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33;#Environmental and Social Responsibility|33ad2915-8861-4337-ac5a-5f7bdfeb2377"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D10E1-DA43-4CEB-8022-DD2418063B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0cb497-4044-4cf2-90cc-f4ae0dbc366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5D0ACA-F823-4AD3-8982-47AEC5255413}">
  <ds:schemaRefs>
    <ds:schemaRef ds:uri="http://schemas.microsoft.com/sharepoint/v3/contenttype/forms"/>
  </ds:schemaRefs>
</ds:datastoreItem>
</file>

<file path=customXml/itemProps3.xml><?xml version="1.0" encoding="utf-8"?>
<ds:datastoreItem xmlns:ds="http://schemas.openxmlformats.org/officeDocument/2006/customXml" ds:itemID="{CE6BC6AE-D314-4D6B-B8AA-827756EA682C}">
  <ds:schemaRefs>
    <ds:schemaRef ds:uri="Microsoft.SharePoint.Taxonomy.ContentTypeSync"/>
  </ds:schemaRefs>
</ds:datastoreItem>
</file>

<file path=customXml/itemProps4.xml><?xml version="1.0" encoding="utf-8"?>
<ds:datastoreItem xmlns:ds="http://schemas.openxmlformats.org/officeDocument/2006/customXml" ds:itemID="{D86AB248-FB2D-488F-B81A-7549B38A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Martin</dc:creator>
  <cp:lastModifiedBy>Banji Jackson-Oke</cp:lastModifiedBy>
  <cp:revision>4</cp:revision>
  <dcterms:created xsi:type="dcterms:W3CDTF">2018-04-13T13:23:00Z</dcterms:created>
  <dcterms:modified xsi:type="dcterms:W3CDTF">2021-05-16T15:35:00Z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0x0101001AE287E3BCC07049AAD0134B3AFED405009761BC1EB75EAE4B8302D2DAADBDEFBF</vt:lpwstr>
  </property>
  <property fmtid="{D5CDD505-2E9C-101B-9397-08002B2CF9AE}" pid="3" name="CDCRelateTo">
    <vt:lpwstr>33;#Environmental and Social Responsibility|33ad2915-8861-4337-ac5a-5f7bdfeb2377</vt:lpwstr>
  </property>
  <property fmtid="{D5CDD505-2E9C-101B-9397-08002B2CF9AE}" pid="4" name="CDCDocumentType">
    <vt:lpwstr/>
  </property>
</Properties>
</file>